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only GHS 200 monthly savings. The data shows a clear correlation between income level and savings amount, though savings rates (savings as percentage of income) differ. Annual figures consistently reflect 12 times the monthly amounts, confirming the data's internal consistency.</w:t>
      </w:r>
    </w:p>
    <w:p>
      <w:pPr>
        <w:pStyle w:val="Heading1"/>
      </w:pPr>
      <w:r>
        <w:t>Key Insights</w:t>
      </w:r>
    </w:p>
    <w:p>
      <w:pPr>
        <w:pStyle w:val="ListBullet"/>
      </w:pPr>
      <w:r>
        <w:t>Income inequality is evident: Engineer's monthly income (GHS 7,200) is 6x Student's income (GHS 1,200)</w:t>
      </w:r>
    </w:p>
    <w:p>
      <w:pPr>
        <w:pStyle w:val="ListBullet"/>
      </w:pPr>
      <w:r>
        <w:t>All subjects maintain positive cash flow (income &gt; expenses)</w:t>
      </w:r>
    </w:p>
    <w:p>
      <w:pPr>
        <w:pStyle w:val="ListBullet"/>
      </w:pPr>
      <w:r>
        <w:t>Highest savings rate: Engineer (33.3%) and Trader (26%) show strongest savings discipline</w:t>
      </w:r>
    </w:p>
    <w:p>
      <w:pPr>
        <w:pStyle w:val="ListBullet"/>
      </w:pPr>
      <w:r>
        <w:t>Lowest savings rate: Driver (21.4%) and Student (16.7%) have thinnest margins</w:t>
      </w:r>
    </w:p>
    <w:p>
      <w:pPr>
        <w:pStyle w:val="ListBullet"/>
      </w:pPr>
      <w:r>
        <w:t>Occupation appears correlated with earning potential: Professional roles (Engineer, Accountant) outperform service roles</w:t>
      </w:r>
    </w:p>
    <w:p>
      <w:pPr>
        <w:pStyle w:val="ListBullet"/>
      </w:pPr>
      <w:r>
        <w:t>Monthly to annual conversion is consistently calculated at 12x multiplier</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