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only GHS 200 monthly savings. The data shows a clear correlation between income level and savings amount, though savings rates (savings as percentage of income) differ across occupations, suggesting varying financial management approaches or fixed cost structures.</w:t>
      </w:r>
    </w:p>
    <w:p>
      <w:pPr>
        <w:pStyle w:val="Heading1"/>
      </w:pPr>
      <w:r>
        <w:t>Key Insights</w:t>
      </w:r>
    </w:p>
    <w:p>
      <w:pPr>
        <w:pStyle w:val="ListBullet"/>
      </w:pPr>
      <w:r>
        <w:t>Engineers earn 86% more than accountants despite both being professional roles</w:t>
      </w:r>
    </w:p>
    <w:p>
      <w:pPr>
        <w:pStyle w:val="ListBullet"/>
      </w:pPr>
      <w:r>
        <w:t>Students have the lowest savings rate at 16.7% despite low absolute expenses</w:t>
      </w:r>
    </w:p>
    <w:p>
      <w:pPr>
        <w:pStyle w:val="ListBullet"/>
      </w:pPr>
      <w:r>
        <w:t>Traders show strong financial performance with 26% savings rate despite not being a formal profession</w:t>
      </w:r>
    </w:p>
    <w:p>
      <w:pPr>
        <w:pStyle w:val="ListBullet"/>
      </w:pPr>
      <w:r>
        <w:t>Monthly to annual calculations are consistent (12x multiplier) across all individuals</w:t>
      </w:r>
    </w:p>
    <w:p>
      <w:pPr>
        <w:pStyle w:val="ListBullet"/>
      </w:pPr>
      <w:r>
        <w:t>Income range spans from GHS 1,200 (Student) to GHS 7,200 (Engineer) - a 500% difference</w:t>
      </w:r>
    </w:p>
    <w:p>
      <w:pPr>
        <w:pStyle w:val="ListBullet"/>
      </w:pPr>
      <w:r>
        <w:t>All individuals maintain positive cash flow with expenses lower than income</w:t>
      </w:r>
    </w:p>
    <w:p>
      <w:pPr>
        <w:pStyle w:val="ListBullet"/>
      </w:pPr>
      <w:r>
        <w:t>Drivers have the second-lowest savings rate (21.4%) despite moderate income</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