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only GHS 200 monthly savings. The data shows a clear correlation between income level and savings amount, though savings rates (savings as percentage of income) differ across occupations, suggesting varying financial management approaches or fixed cost structures.</w:t>
      </w:r>
    </w:p>
    <w:p>
      <w:pPr>
        <w:pStyle w:val="Heading1"/>
      </w:pPr>
      <w:r>
        <w:t>Key Insights</w:t>
      </w:r>
    </w:p>
    <w:p>
      <w:pPr>
        <w:pStyle w:val="ListBullet"/>
      </w:pPr>
      <w:r>
        <w:t>Engineers earn 86% more than accountants despite both being professional roles</w:t>
      </w:r>
    </w:p>
    <w:p>
      <w:pPr>
        <w:pStyle w:val="ListBullet"/>
      </w:pPr>
      <w:r>
        <w:t>Monthly savings range from GHS 200 (Student) to GHS 2,400 (Engineer) - a 12x difference</w:t>
      </w:r>
    </w:p>
    <w:p>
      <w:pPr>
        <w:pStyle w:val="ListBullet"/>
      </w:pPr>
      <w:r>
        <w:t>All individuals maintain positive cash flow (income &gt; expenses)</w:t>
      </w:r>
    </w:p>
    <w:p>
      <w:pPr>
        <w:pStyle w:val="ListBullet"/>
      </w:pPr>
      <w:r>
        <w:t>Traders show strong earnings (GHS 5,000 monthly) comparable to some professional roles</w:t>
      </w:r>
    </w:p>
    <w:p>
      <w:pPr>
        <w:pStyle w:val="ListBullet"/>
      </w:pPr>
      <w:r>
        <w:t>Students have the tightest budget with only 16.7% savings rate</w:t>
      </w:r>
    </w:p>
    <w:p>
      <w:pPr>
        <w:pStyle w:val="ListBullet"/>
      </w:pPr>
      <w:r>
        <w:t>Engineers achieve the highest savings rate at 33.3% of income</w:t>
      </w:r>
    </w:p>
    <w:p>
      <w:pPr>
        <w:pStyle w:val="ListBullet"/>
      </w:pPr>
      <w:r>
        <w:t>Annual data consistently reflects 12x monthly figures, confirming calculation accuracy</w:t>
      </w:r>
    </w:p>
    <w:p>
      <w:pPr>
        <w:pStyle w:val="Heading1"/>
      </w:pPr>
      <w:r>
        <w:t>Questions &amp; Answers</w:t>
      </w:r>
    </w:p>
    <w:p>
      <w:pPr>
        <w:pStyle w:val="ListNumber"/>
      </w:pPr>
      <w:r>
        <w:t>Q1: What is this document about?</w:t>
      </w:r>
    </w:p>
    <w:p>
      <w:r>
        <w:t>Answer: This document presents financial data for seven individuals across different occupations, showing their monthly and annual income, expenses, and savings. The data reveals significant income disparitie...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