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documents the author's response to the COVID-19 pandemic by creating an automated water dispenser for their school community. The document begins by describing the atmosphere of fear and hopelessness during the pandemic, particularly highlighting the vulnerability of elderly people and children, and the practical challenges of basic hygiene like using water taps.</w:t>
        <w:br/>
        <w:br/>
        <w:t>The author describes how they channeled this crisis into action by developing an automated water dispenser that served approximately 900 students. This innovation transformed from a practical solution into a symbolic beacon of hope, demonstrating that even small actions can provide significant comfort and safety during difficult times. The dispenser not only addressed the immediate hygiene need but also represented resilience and the human capacity to create positive change amid adversity.</w:t>
        <w:br/>
        <w:br/>
        <w:t>The reflection concludes with the author's realization about the importance of meaningful contributions, regardless of scale. The pandemic experience revealed a greater purpose in using one's skills and compassion to help others, emphasizing that what ultimately matters are the positive impacts we make on our communities.</w:t>
      </w:r>
    </w:p>
    <w:p>
      <w:pPr>
        <w:pStyle w:val="Heading1"/>
      </w:pPr>
      <w:r>
        <w:t>Key Insights</w:t>
      </w:r>
    </w:p>
    <w:p>
      <w:pPr>
        <w:pStyle w:val="ListBullet"/>
      </w:pPr>
      <w:r>
        <w:t>Crisis can catalyze innovation and community-focused solutions</w:t>
      </w:r>
    </w:p>
    <w:p>
      <w:pPr>
        <w:pStyle w:val="ListBullet"/>
      </w:pPr>
      <w:r>
        <w:t>Small, practical interventions can have significant psychological impact (transforming fear into comfort)</w:t>
      </w:r>
    </w:p>
    <w:p>
      <w:pPr>
        <w:pStyle w:val="ListBullet"/>
      </w:pPr>
      <w:r>
        <w:t>Personal agency during collective challenges creates ripple effects of hope and safety</w:t>
      </w:r>
    </w:p>
    <w:p>
      <w:pPr>
        <w:pStyle w:val="ListBullet"/>
      </w:pPr>
      <w:r>
        <w:t>The most meaningful contributions often address immediate community needs rather than attempting global change</w:t>
      </w:r>
    </w:p>
    <w:p>
      <w:pPr>
        <w:pStyle w:val="ListBullet"/>
      </w:pPr>
      <w:r>
        <w:t>Adversity can reveal personal purpose and the value of hands-on creation and service</w:t>
      </w:r>
    </w:p>
    <w:p>
      <w:pPr>
        <w:pStyle w:val="Heading1"/>
      </w:pPr>
      <w:r>
        <w:t>Questions &amp; Answers</w:t>
      </w:r>
    </w:p>
    <w:p>
      <w:pPr>
        <w:pStyle w:val="ListNumber"/>
      </w:pPr>
      <w:r>
        <w:t>Q1: What is this document about?</w:t>
      </w:r>
    </w:p>
    <w:p>
      <w:r>
        <w:t>Answer: This personal narrative documents the author's response to the COVID-19 pandemic by creating an automated water dispenser for their school community. The document begins by describing the atmosphere 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