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in Ghana,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basic financial stability within this sample group.</w:t>
        <w:br/>
        <w:br/>
        <w:t>The analysis shows that higher-income occupations like engineering (GHS 7,200 monthly) generate nearly six times the monthly income of the lowest-earning student (GHS 1,200). Despite income variations, all subjects maintain savings rates between 16-33% of their income, suggesting consistent financial discipline across occupations. The trader demonstrates notable financial performance, generating the second-highest savings among non-professional occupations.</w:t>
      </w:r>
    </w:p>
    <w:p>
      <w:pPr>
        <w:pStyle w:val="Heading1"/>
      </w:pPr>
      <w:r>
        <w:t>Key Insights</w:t>
      </w:r>
    </w:p>
    <w:p>
      <w:pPr>
        <w:pStyle w:val="ListBullet"/>
      </w:pPr>
      <w:r>
        <w:t>Income inequality is evident with engineers earning 500% more than students and 106% more than teachers</w:t>
      </w:r>
    </w:p>
    <w:p>
      <w:pPr>
        <w:pStyle w:val="ListBullet"/>
      </w:pPr>
      <w:r>
        <w:t>All individuals maintain positive cash flow with savings rates ranging from 16.7% (driver) to 33.3% (engineer)</w:t>
      </w:r>
    </w:p>
    <w:p>
      <w:pPr>
        <w:pStyle w:val="ListBullet"/>
      </w:pPr>
      <w:r>
        <w:t>The highest annual saver is the engineer (GHS 28,800), while the student saves the least (GHS 2,400)</w:t>
      </w:r>
    </w:p>
    <w:p>
      <w:pPr>
        <w:pStyle w:val="ListBullet"/>
      </w:pPr>
      <w:r>
        <w:t>Monthly to annual calculations are consistent across all entries (multiplied by 12)</w:t>
      </w:r>
    </w:p>
    <w:p>
      <w:pPr>
        <w:pStyle w:val="ListBullet"/>
      </w:pPr>
      <w:r>
        <w:t>The trader occupation generates substantial income (GHS 5,000 monthly), comparable to formal employment</w:t>
      </w:r>
    </w:p>
    <w:p>
      <w:pPr>
        <w:pStyle w:val="ListBullet"/>
      </w:pPr>
      <w:r>
        <w:t>Expense patterns generally correlate with income levels across all occupations</w:t>
      </w:r>
    </w:p>
    <w:p>
      <w:pPr>
        <w:pStyle w:val="Heading1"/>
      </w:pPr>
      <w:r>
        <w:t>Questions &amp; Answers</w:t>
      </w:r>
    </w:p>
    <w:p>
      <w:pPr>
        <w:pStyle w:val="ListNumber"/>
      </w:pPr>
      <w:r>
        <w:t>Q1: What is this document about?</w:t>
      </w:r>
    </w:p>
    <w:p>
      <w:r>
        <w:t>Answer: This document presents financial data for seven individuals across different occupations in Ghana, showing their monthly and annual income, expenses, and savings. The data reveals significant income 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