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presents a personal narrative detailing the author's commitment to humanitarian and environmental initiatives driven by a philosophy of collective well-being. The author emphasizes that life's purpose extends beyond personal achievement to actively supporting others, particularly those facing adversity. This belief has motivated tangible actions, such as providing clean water to underserved communities and combating environmental degradation in Ghana.</w:t>
        <w:br/>
        <w:br/>
        <w:t>The author recounts leading a project to address waterborne diseases in a village by educating residents on water safety and distributing clean water bottles, followed by collaboration with local authorities for sustainable impact. Additionally, as product manager for EcoGuard, they developed a platform for reporting illegal mining and improper waste disposal, empowering communities and enabling data-driven interventions. These experiences reflect a dedication to fostering resilience, health, and environmental stewardship through community-led efforts.</w:t>
      </w:r>
    </w:p>
    <w:p>
      <w:pPr>
        <w:pStyle w:val="Heading1"/>
      </w:pPr>
      <w:r>
        <w:t>Key Insights</w:t>
      </w:r>
    </w:p>
    <w:p>
      <w:pPr>
        <w:pStyle w:val="ListBullet"/>
      </w:pPr>
      <w:r>
        <w:t>The author’s core philosophy centers on empathy and collective progress, viewing life as an opportunity to build bridges of hope for others.</w:t>
      </w:r>
    </w:p>
    <w:p>
      <w:pPr>
        <w:pStyle w:val="ListBullet"/>
      </w:pPr>
      <w:r>
        <w:t>Practical initiatives included water safety education and resource distribution, significantly reducing health risks like cholera in a vulnerable community.</w:t>
      </w:r>
    </w:p>
    <w:p>
      <w:pPr>
        <w:pStyle w:val="ListBullet"/>
      </w:pPr>
      <w:r>
        <w:t>Collaboration with local authorities and medical professionals was key to ensuring long-term sustainability of the water safety project.</w:t>
      </w:r>
    </w:p>
    <w:p>
      <w:pPr>
        <w:pStyle w:val="ListBullet"/>
      </w:pPr>
      <w:r>
        <w:t>EcoGuard’s platform leveraged community reporting to identify environmental threats, demonstrating the power of grassroots involvement in tackling illegal mining.</w:t>
      </w:r>
    </w:p>
    <w:p>
      <w:pPr>
        <w:pStyle w:val="ListBullet"/>
      </w:pPr>
      <w:r>
        <w:t>The author’s work highlights the intersection of public health, environmental protection, and community empowerment as essential for meaningful change.</w:t>
      </w:r>
    </w:p>
    <w:p>
      <w:pPr>
        <w:pStyle w:val="Heading1"/>
      </w:pPr>
      <w:r>
        <w:t>Questions &amp; Answers</w:t>
      </w:r>
    </w:p>
    <w:p>
      <w:pPr>
        <w:pStyle w:val="ListNumber"/>
      </w:pPr>
      <w:r>
        <w:t>Q1: What is this document about?</w:t>
      </w:r>
    </w:p>
    <w:p>
      <w:r>
        <w:t>Answer: This document presents a personal narrative detailing the author's commitment to humanitarian and environmental initiatives driven by a philosophy of collective well-being. The author emphasizes that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