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students and drivers. All individuals maintain positive savings, indicating basic financial stability, though savings rates vary considerably across income levels.</w:t>
        <w:br/>
        <w:br/>
        <w:t>The analysis shows that higher-income occupations like engineering (GHS 7,200 monthly) generate nearly six times the income of the lowest-earning student (GHS 1,200 monthly). Despite these disparities, all subjects maintain positive cash flow, with savings ranging from GHS 200 to GHS 2,400 monthly. The data provides a snapshot of earning potential and financial management across different socioeconomic segments in this sample group.</w:t>
      </w:r>
    </w:p>
    <w:p>
      <w:pPr>
        <w:pStyle w:val="Heading1"/>
      </w:pPr>
      <w:r>
        <w:t>Key Insights</w:t>
      </w:r>
    </w:p>
    <w:p>
      <w:pPr>
        <w:pStyle w:val="ListBullet"/>
      </w:pPr>
      <w:r>
        <w:t>Income inequality is evident, with engineers earning 500% more than students and 157% more than teachers</w:t>
      </w:r>
    </w:p>
    <w:p>
      <w:pPr>
        <w:pStyle w:val="ListBullet"/>
      </w:pPr>
      <w:r>
        <w:t>Savings rates (savings as percentage of income) range from 16.7% (student) to 33.3% (engineer), showing that higher earners tend to save proportionally more</w:t>
      </w:r>
    </w:p>
    <w:p>
      <w:pPr>
        <w:pStyle w:val="ListBullet"/>
      </w:pPr>
      <w:r>
        <w:t>All individuals maintain positive net cash flow despite varying income levels</w:t>
      </w:r>
    </w:p>
    <w:p>
      <w:pPr>
        <w:pStyle w:val="ListBullet"/>
      </w:pPr>
      <w:r>
        <w:t>The highest absolute savings belong to the engineer (GHS 2,400 monthly), while the lowest belongs to the student (GHS 200 monthly)</w:t>
      </w:r>
    </w:p>
    <w:p>
      <w:pPr>
        <w:pStyle w:val="ListBullet"/>
      </w:pPr>
      <w:r>
        <w:t>Monthly to annual calculations appear consistent across all entries (multiplied by 12)</w:t>
      </w:r>
    </w:p>
    <w:p>
      <w:pPr>
        <w:pStyle w:val="ListBullet"/>
      </w:pPr>
      <w:r>
        <w:t>The trader demonstrates that non-professional occupations can generate competitive income (GHS 5,000 monthly)</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