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disparities in earning capacity and financial management across professions, with engineers and accountants demonstrating the strongest financial positions while students show the most constrained circumstances. The dataset provides a clear snapshot of how occupation correlates with financial stability and saving capacity in this sample group.</w:t>
        <w:br/>
        <w:br/>
        <w:t>The analysis shows that all individuals maintain positive savings rates, indicating basic financial health across the board. However, the savings ratios vary considerably, with Kojo Owusu (Engineer) achieving the highest absolute savings and the second-highest savings rate at 33%, while Kofi Adjei (Student) shows the most limited financial capacity with only 200 GHS monthly savings. The data suggests a clear hierarchy where professional occupations (Engineer, Accountant) outperform skilled trades (Nurse, Teacher) and informal sector roles (Trader, Driver) in both income generation and savings accumulation.</w:t>
      </w:r>
    </w:p>
    <w:p>
      <w:pPr>
        <w:pStyle w:val="Heading1"/>
      </w:pPr>
      <w:r>
        <w:t>Key Insights</w:t>
      </w:r>
    </w:p>
    <w:p>
      <w:pPr>
        <w:pStyle w:val="ListBullet"/>
      </w:pPr>
      <w:r>
        <w:t>Engineers and accountants earn approximately 70-100% more than teachers and nurses, demonstrating the premium on technical and professional qualifications</w:t>
      </w:r>
    </w:p>
    <w:p>
      <w:pPr>
        <w:pStyle w:val="ListBullet"/>
      </w:pPr>
      <w:r>
        <w:t>All individuals maintain positive cash flow, with savings rates ranging from 17% to 33% of monthly income</w:t>
      </w:r>
    </w:p>
    <w:p>
      <w:pPr>
        <w:pStyle w:val="ListBullet"/>
      </w:pPr>
      <w:r>
        <w:t>The student has the lowest absolute savings (200 GHS monthly) but maintains a respectable 17% savings rate despite limited income</w:t>
      </w:r>
    </w:p>
    <w:p>
      <w:pPr>
        <w:pStyle w:val="ListBullet"/>
      </w:pPr>
      <w:r>
        <w:t>Monthly to annual calculations are consistent across all entries (multiplied by 12), confirming data integrity</w:t>
      </w:r>
    </w:p>
    <w:p>
      <w:pPr>
        <w:pStyle w:val="ListBullet"/>
      </w:pPr>
      <w:r>
        <w:t>The trader shows surprisingly strong financial performance, outperforming several formal sector employees in both income and savings</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disparit...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