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729FCF"/>
  <w:body>
    <w:tbl>
      <w:tblPr>
        <w:tblStyle w:val="TableNormal"/>
        <w:tblW w:w="8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670"/>
        <w:gridCol w:w="119"/>
        <w:gridCol w:w="2596"/>
        <w:gridCol w:w="165"/>
        <w:gridCol w:w="2671"/>
        <w:gridCol w:w="148"/>
      </w:tblGrid>
      <w:tr>
        <w:trPr>
          <w:trHeight w:val="1470" w:hRule="atLeast"/>
        </w:trPr>
        <w:tc>
          <w:tcPr>
            <w:tcW w:w="836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="0" w:after="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Toscano 535.</w:t>
            </w:r>
          </w:p>
          <w:p>
            <w:pPr>
              <w:pStyle w:val="Normal"/>
              <w:widowControl w:val="false"/>
              <w:suppressAutoHyphens w:val="true"/>
              <w:spacing w:lineRule="auto" w:line="312" w:before="0" w:after="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Villa Sarmiento, 1706.</w:t>
            </w:r>
          </w:p>
          <w:p>
            <w:pPr>
              <w:pStyle w:val="Normal"/>
              <w:widowControl w:val="false"/>
              <w:suppressAutoHyphens w:val="true"/>
              <w:spacing w:lineRule="auto" w:line="312" w:before="0" w:after="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1155254207.</w:t>
            </w:r>
          </w:p>
          <w:p>
            <w:pPr>
              <w:pStyle w:val="Normal"/>
              <w:widowControl w:val="false"/>
              <w:suppressAutoHyphens w:val="true"/>
              <w:spacing w:lineRule="auto" w:line="312" w:before="0" w:after="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hyperlink r:id="rId2">
              <w:r>
                <w:rPr>
                  <w:rStyle w:val="EnlacedeInternet"/>
                  <w:rFonts w:eastAsia="Arial Nova" w:cs="Arial Nova" w:ascii="Arial Nova" w:hAnsi="Arial Nova"/>
                  <w:b w:val="false"/>
                  <w:bCs w:val="false"/>
                  <w:i w:val="false"/>
                  <w:iCs w:val="false"/>
                  <w:kern w:val="0"/>
                  <w:sz w:val="18"/>
                  <w:szCs w:val="18"/>
                  <w:lang w:val="es-ES" w:eastAsia="en-US" w:bidi="ar-SA"/>
                </w:rPr>
                <w:t>Agustina-nperez@hotmail.com</w:t>
              </w:r>
            </w:hyperlink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</w:p>
        </w:tc>
      </w:tr>
      <w:tr>
        <w:trPr>
          <w:trHeight w:val="2445" w:hRule="atLeast"/>
        </w:trPr>
        <w:tc>
          <w:tcPr>
            <w:tcW w:w="8369" w:type="dxa"/>
            <w:gridSpan w:val="6"/>
            <w:tcBorders/>
          </w:tcPr>
          <w:p>
            <w:pPr>
              <w:pStyle w:val="Ttulogeneral"/>
              <w:widowControl w:val="false"/>
              <w:suppressAutoHyphens w:val="true"/>
              <w:spacing w:lineRule="auto" w:line="216" w:before="0" w:after="0"/>
              <w:contextualSpacing/>
              <w:jc w:val="left"/>
              <w:rPr>
                <w:rFonts w:ascii="Arial Nova" w:hAnsi="Arial Nova" w:eastAsia="Arial Nova" w:cs="Arial Nova"/>
                <w:b/>
                <w:b/>
                <w:bCs/>
                <w:i w:val="false"/>
                <w:i w:val="false"/>
                <w:iCs w:val="false"/>
                <w:color w:val="231F20"/>
                <w:sz w:val="96"/>
                <w:szCs w:val="96"/>
              </w:rPr>
            </w:pP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sz w:val="96"/>
                <w:szCs w:val="96"/>
                <w:lang w:val="es-ES" w:eastAsia="en-US" w:bidi="ar-SA"/>
              </w:rPr>
              <w:t xml:space="preserve">Pérez </w:t>
            </w:r>
            <w:r>
              <w:rPr>
                <w:lang w:val="es-ES" w:eastAsia="en-US" w:bidi="ar-SA"/>
              </w:rPr>
              <w:br/>
            </w: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sz w:val="96"/>
                <w:szCs w:val="96"/>
                <w:lang w:val="es-ES" w:eastAsia="en-US" w:bidi="ar-SA"/>
              </w:rPr>
              <w:t>Agustina</w:t>
            </w:r>
            <w:r>
              <w:rPr>
                <w:lang w:val="es-ES" w:eastAsia="en-US" w:bidi="ar-SA"/>
              </w:rPr>
              <w:br/>
            </w: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sz w:val="96"/>
                <w:szCs w:val="96"/>
                <w:lang w:val="es-ES" w:eastAsia="en-US" w:bidi="ar-SA"/>
              </w:rPr>
              <w:t xml:space="preserve">Natalia </w:t>
            </w:r>
          </w:p>
        </w:tc>
      </w:tr>
      <w:tr>
        <w:trPr>
          <w:trHeight w:val="300" w:hRule="atLeast"/>
        </w:trPr>
        <w:tc>
          <w:tcPr>
            <w:tcW w:w="836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="0" w:after="20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22"/>
                <w:szCs w:val="22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22"/>
                <w:szCs w:val="22"/>
                <w:lang w:val="es-ES" w:eastAsia="en-US" w:bidi="ar-SA"/>
              </w:rPr>
              <w:t>Empresas internacionales.</w:t>
            </w:r>
          </w:p>
        </w:tc>
      </w:tr>
      <w:tr>
        <w:trPr/>
        <w:tc>
          <w:tcPr>
            <w:tcW w:w="27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="27" w:after="120"/>
              <w:jc w:val="left"/>
              <w:rPr>
                <w:rFonts w:ascii="Arial Nova" w:hAnsi="Arial Nova" w:eastAsia="Arial Nova" w:cs="Arial Nova"/>
                <w:b/>
                <w:b/>
                <w:bCs/>
                <w:i w:val="false"/>
                <w:i w:val="false"/>
                <w:iCs w:val="false"/>
                <w:color w:val="231F20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/>
                <w:bCs/>
                <w:i w:val="false"/>
                <w:iCs w:val="false"/>
                <w:color w:val="231F20"/>
                <w:kern w:val="0"/>
                <w:sz w:val="22"/>
                <w:szCs w:val="22"/>
                <w:lang w:val="en-US" w:eastAsia="en-US" w:bidi="ar-SA"/>
              </w:rPr>
              <w:t>RRHH Manager, Southern Cone (Argentina, Chile &amp; Uruguay)</w:t>
            </w: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76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="0" w:after="20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22"/>
                <w:szCs w:val="22"/>
              </w:rPr>
            </w:pP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kern w:val="0"/>
                <w:sz w:val="22"/>
                <w:szCs w:val="22"/>
                <w:lang w:val="es-ES" w:eastAsia="en-US" w:bidi="ar-SA"/>
              </w:rPr>
              <w:t>Relaciones Laborales (Argentina, Perú y Colombia)</w:t>
            </w:r>
          </w:p>
        </w:tc>
        <w:tc>
          <w:tcPr>
            <w:tcW w:w="28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="27" w:after="120"/>
              <w:jc w:val="left"/>
              <w:rPr>
                <w:rFonts w:ascii="Arial Nova" w:hAnsi="Arial Nova" w:eastAsia="Arial Nova" w:cs="Arial Nova"/>
                <w:b/>
                <w:b/>
                <w:bCs/>
                <w:i w:val="false"/>
                <w:i w:val="false"/>
                <w:iCs w:val="false"/>
                <w:color w:val="231F20"/>
                <w:sz w:val="22"/>
                <w:szCs w:val="22"/>
              </w:rPr>
            </w:pP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kern w:val="0"/>
                <w:sz w:val="22"/>
                <w:szCs w:val="22"/>
                <w:lang w:val="es-ES" w:eastAsia="en-US" w:bidi="ar-SA"/>
              </w:rPr>
              <w:t xml:space="preserve">RRHH manager (Perú) </w:t>
            </w:r>
          </w:p>
        </w:tc>
      </w:tr>
      <w:tr>
        <w:trPr>
          <w:trHeight w:val="795" w:hRule="atLeast"/>
        </w:trPr>
        <w:tc>
          <w:tcPr>
            <w:tcW w:w="26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2" w:before="12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2018 - Actualidad</w:t>
            </w:r>
          </w:p>
        </w:tc>
        <w:tc>
          <w:tcPr>
            <w:tcW w:w="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2" w:before="12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2008 - 2018</w:t>
            </w:r>
          </w:p>
        </w:tc>
        <w:tc>
          <w:tcPr>
            <w:tcW w:w="1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2" w:before="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sz w:val="18"/>
                <w:szCs w:val="18"/>
              </w:rPr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2" w:before="12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2004 - 2008</w:t>
            </w:r>
          </w:p>
        </w:tc>
        <w:tc>
          <w:tcPr>
            <w:tcW w:w="1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2" w:before="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sz w:val="18"/>
                <w:szCs w:val="18"/>
              </w:rPr>
            </w:r>
          </w:p>
        </w:tc>
      </w:tr>
      <w:tr>
        <w:trPr>
          <w:trHeight w:val="3165" w:hRule="atLeast"/>
        </w:trPr>
        <w:tc>
          <w:tcPr>
            <w:tcW w:w="27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Autospacing="0" w:before="20" w:after="20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Gestionar los RRHH de un equipo humano de 1.000 personas distribuídas en 5 plantas industriales en el país, 2 en Bs As (Chacabuco, Baradero), 2 en Córdoba (Arroyito) y 1 en Tucumán; liderando un proceso de fusión de dos empresas.</w:t>
            </w:r>
          </w:p>
        </w:tc>
        <w:tc>
          <w:tcPr>
            <w:tcW w:w="276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Autospacing="0" w:before="20" w:after="20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Gestionar las estrategias gremiales para los países de: Argentina, Perú y Colombia.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br/>
            </w: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La operación en la Argentina, con dos sindicatos de Empresa. La operación de Perú, con uno y en Colombia con un gestionamiento fraccionado en 4 representaciones gremiales.</w:t>
            </w:r>
          </w:p>
        </w:tc>
        <w:tc>
          <w:tcPr>
            <w:tcW w:w="28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Autospacing="0" w:before="20" w:after="20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Cubrí temporalmente la vacante de HR Manager de la operación de Perú.</w:t>
            </w:r>
          </w:p>
        </w:tc>
      </w:tr>
      <w:tr>
        <w:trPr>
          <w:trHeight w:val="375" w:hRule="atLeast"/>
        </w:trPr>
        <w:tc>
          <w:tcPr>
            <w:tcW w:w="2789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12" w:before="27" w:after="120"/>
              <w:jc w:val="left"/>
              <w:rPr>
                <w:rFonts w:ascii="Arial Nova" w:hAnsi="Arial Nova" w:eastAsia="Arial Nova" w:cs="Arial Nova"/>
                <w:b/>
                <w:b/>
                <w:bCs/>
                <w:i w:val="false"/>
                <w:i w:val="false"/>
                <w:iCs w:val="false"/>
                <w:color w:val="231F20"/>
                <w:sz w:val="22"/>
                <w:szCs w:val="22"/>
              </w:rPr>
            </w:pPr>
            <w:r>
              <w:rPr>
                <w:rFonts w:eastAsia="Arial Nova" w:cs="Arial Nova" w:ascii="Arial Nova" w:hAnsi="Arial Nova"/>
                <w:b/>
                <w:bCs/>
                <w:i w:val="false"/>
                <w:iCs w:val="false"/>
                <w:color w:val="231F20"/>
                <w:kern w:val="0"/>
                <w:sz w:val="22"/>
                <w:szCs w:val="22"/>
                <w:lang w:val="es-ES" w:eastAsia="en-US" w:bidi="ar-SA"/>
              </w:rPr>
              <w:t>Licenciatura en RRLL</w:t>
            </w:r>
          </w:p>
          <w:p>
            <w:pPr>
              <w:pStyle w:val="Normal"/>
              <w:widowControl w:val="false"/>
              <w:suppressAutoHyphens w:val="true"/>
              <w:spacing w:lineRule="auto" w:line="312" w:before="120" w:after="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>Universidad de La Matanza</w:t>
            </w:r>
          </w:p>
          <w:p>
            <w:pPr>
              <w:pStyle w:val="Normal"/>
              <w:widowControl w:val="false"/>
              <w:suppressAutoHyphens w:val="true"/>
              <w:spacing w:lineRule="auto" w:line="312" w:before="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>
                <w:rFonts w:eastAsia="Arial Nova" w:cs="Arial Nova" w:ascii="Arial Nova" w:hAnsi="Arial Nova"/>
                <w:b w:val="false"/>
                <w:bCs w:val="false"/>
                <w:i w:val="false"/>
                <w:iCs w:val="false"/>
                <w:color w:val="231F20"/>
                <w:kern w:val="0"/>
                <w:sz w:val="18"/>
                <w:szCs w:val="18"/>
                <w:lang w:val="es-ES" w:eastAsia="en-US" w:bidi="ar-SA"/>
              </w:rPr>
              <w:t xml:space="preserve">2000 - 2004 </w:t>
            </w:r>
          </w:p>
          <w:p>
            <w:pPr>
              <w:pStyle w:val="Normal"/>
              <w:widowControl w:val="false"/>
              <w:suppressAutoHyphens w:val="true"/>
              <w:spacing w:lineRule="auto" w:line="312" w:before="0" w:after="120"/>
              <w:jc w:val="left"/>
              <w:rPr>
                <w:rFonts w:ascii="Arial Nova" w:hAnsi="Arial Nova" w:eastAsia="Arial Nova" w:cs="Arial Nova"/>
                <w:b w:val="false"/>
                <w:b w:val="false"/>
                <w:bCs w:val="false"/>
                <w:i w:val="false"/>
                <w:i w:val="false"/>
                <w:iCs w:val="false"/>
                <w:color w:val="231F20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14425" cy="1133475"/>
                  <wp:effectExtent l="0" t="0" r="0" b="0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gridSpan w:val="2"/>
            <w:tcBorders/>
            <w:vAlign w:val="bottom"/>
          </w:tcPr>
          <w:p>
            <w:pPr>
              <w:pStyle w:val="Nombredelaaptitud"/>
              <w:widowControl w:val="false"/>
              <w:suppressAutoHyphens w:val="true"/>
              <w:rPr/>
            </w:pPr>
            <w:r>
              <w:rPr>
                <w:rStyle w:val="PlaceholderText"/>
                <w:color w:val="auto"/>
                <w:lang w:bidi="es-ES"/>
              </w:rPr>
              <w:t>Creatividad</w:t>
            </w:r>
            <w:r>
              <w:rPr>
                <w:lang w:bidi="es-ES"/>
              </w:rPr>
              <w:t xml:space="preserve"> </w:t>
            </w:r>
          </w:p>
        </w:tc>
        <w:tc>
          <w:tcPr>
            <w:tcW w:w="2819" w:type="dxa"/>
            <w:gridSpan w:val="2"/>
            <w:tcBorders/>
            <w:vAlign w:val="bottom"/>
          </w:tcPr>
          <w:p>
            <w:pPr>
              <w:pStyle w:val="Valoracindeaptitudes"/>
              <w:widowControl w:val="false"/>
              <w:suppressAutoHyphens w:val="true"/>
              <w:rPr/>
            </w:pPr>
            <w:r>
              <w:rPr>
                <w:rStyle w:val="PlaceholderText"/>
                <w:color w:val="auto"/>
                <w:lang w:bidi="es-ES"/>
              </w:rPr>
              <w:t>9/10</w:t>
            </w:r>
            <w:r>
              <w:rPr>
                <w:lang w:bidi="es-ES"/>
              </w:rPr>
              <w:t xml:space="preserve"> </w:t>
            </w:r>
          </w:p>
        </w:tc>
      </w:tr>
      <w:tr>
        <w:trPr>
          <w:trHeight w:val="587" w:hRule="atLeast"/>
        </w:trPr>
        <w:tc>
          <w:tcPr>
            <w:tcW w:w="278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580" w:type="dxa"/>
            <w:gridSpan w:val="4"/>
            <w:tcBorders/>
            <w:vAlign w:val="center"/>
          </w:tcPr>
          <w:tbl>
            <w:tblPr>
              <w:tblW w:w="53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09"/>
              <w:gridCol w:w="615"/>
            </w:tblGrid>
            <w:tr>
              <w:trPr/>
              <w:tc>
                <w:tcPr>
                  <w:tcW w:w="4709" w:type="dxa"/>
                  <w:tcBorders/>
                  <w:shd w:fill="000000" w:val="clear"/>
                </w:tcPr>
                <w:p>
                  <w:pPr>
                    <w:pStyle w:val="Normal"/>
                    <w:widowControl w:val="false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6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78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761" w:type="dxa"/>
            <w:gridSpan w:val="2"/>
            <w:tcBorders/>
            <w:vAlign w:val="bottom"/>
          </w:tcPr>
          <w:p>
            <w:pPr>
              <w:pStyle w:val="Nombredelaaptitud"/>
              <w:widowControl w:val="false"/>
              <w:suppressAutoHyphens w:val="true"/>
              <w:rPr/>
            </w:pPr>
            <w:r>
              <w:rPr>
                <w:rStyle w:val="PlaceholderText"/>
                <w:color w:val="auto"/>
                <w:lang w:bidi="es-ES"/>
              </w:rPr>
              <w:t>Liderazgo</w:t>
            </w:r>
            <w:r>
              <w:rPr>
                <w:lang w:bidi="es-ES"/>
              </w:rPr>
              <w:t xml:space="preserve"> </w:t>
            </w:r>
          </w:p>
        </w:tc>
        <w:tc>
          <w:tcPr>
            <w:tcW w:w="2819" w:type="dxa"/>
            <w:gridSpan w:val="2"/>
            <w:tcBorders/>
            <w:vAlign w:val="bottom"/>
          </w:tcPr>
          <w:p>
            <w:pPr>
              <w:pStyle w:val="Valoracindeaptitudes"/>
              <w:widowControl w:val="false"/>
              <w:suppressAutoHyphens w:val="true"/>
              <w:rPr/>
            </w:pPr>
            <w:r>
              <w:rPr>
                <w:rStyle w:val="PlaceholderText"/>
                <w:color w:val="auto"/>
                <w:lang w:bidi="es-ES"/>
              </w:rPr>
              <w:t>7/10</w:t>
            </w:r>
            <w:r>
              <w:rPr>
                <w:lang w:bidi="es-ES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278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580" w:type="dxa"/>
            <w:gridSpan w:val="4"/>
            <w:tcBorders/>
            <w:vAlign w:val="center"/>
          </w:tcPr>
          <w:tbl>
            <w:tblPr>
              <w:tblW w:w="53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50"/>
              <w:gridCol w:w="1374"/>
            </w:tblGrid>
            <w:tr>
              <w:trPr/>
              <w:tc>
                <w:tcPr>
                  <w:tcW w:w="3950" w:type="dxa"/>
                  <w:tcBorders/>
                  <w:shd w:fill="000000" w:val="clear"/>
                </w:tcPr>
                <w:p>
                  <w:pPr>
                    <w:pStyle w:val="Normal"/>
                    <w:widowControl w:val="false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278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761" w:type="dxa"/>
            <w:gridSpan w:val="2"/>
            <w:tcBorders/>
            <w:vAlign w:val="bottom"/>
          </w:tcPr>
          <w:p>
            <w:pPr>
              <w:pStyle w:val="Nombredelaaptitud"/>
              <w:widowControl w:val="false"/>
              <w:suppressAutoHyphens w:val="true"/>
              <w:rPr/>
            </w:pPr>
            <w:r>
              <w:rPr>
                <w:rStyle w:val="PlaceholderText"/>
                <w:color w:val="auto"/>
              </w:rPr>
              <w:t>Solución de problemas</w:t>
            </w:r>
            <w:r>
              <w:rPr/>
              <w:t xml:space="preserve"> </w:t>
            </w:r>
          </w:p>
        </w:tc>
        <w:tc>
          <w:tcPr>
            <w:tcW w:w="2819" w:type="dxa"/>
            <w:gridSpan w:val="2"/>
            <w:tcBorders/>
            <w:vAlign w:val="bottom"/>
          </w:tcPr>
          <w:p>
            <w:pPr>
              <w:pStyle w:val="Valoracindeaptitudes"/>
              <w:widowControl w:val="false"/>
              <w:suppressAutoHyphens w:val="true"/>
              <w:rPr/>
            </w:pPr>
            <w:r>
              <w:rPr>
                <w:lang w:bidi="es-ES"/>
              </w:rPr>
              <w:t>10</w:t>
            </w:r>
            <w:r>
              <w:rPr>
                <w:rStyle w:val="PlaceholderText"/>
                <w:color w:val="auto"/>
                <w:lang w:bidi="es-ES"/>
              </w:rPr>
              <w:t>/10</w:t>
            </w:r>
            <w:r>
              <w:rPr>
                <w:lang w:bidi="es-ES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W w:w="278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580" w:type="dxa"/>
            <w:gridSpan w:val="4"/>
            <w:tcBorders/>
            <w:vAlign w:val="center"/>
          </w:tcPr>
          <w:tbl>
            <w:tblPr>
              <w:tblW w:w="53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25"/>
            </w:tblGrid>
            <w:tr>
              <w:trPr>
                <w:trHeight w:val="288" w:hRule="atLeast"/>
              </w:trPr>
              <w:tc>
                <w:tcPr>
                  <w:tcW w:w="5325" w:type="dxa"/>
                  <w:tcBorders/>
                  <w:shd w:fill="000000" w:val="clear"/>
                </w:tcPr>
                <w:p>
                  <w:pPr>
                    <w:pStyle w:val="Normal"/>
                    <w:widowControl w:val="false"/>
                    <w:spacing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35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mbredelaaptitud">
    <w:name w:val="Nombre de la aptitud"/>
    <w:basedOn w:val="Normal"/>
    <w:qFormat/>
    <w:pPr>
      <w:spacing w:before="0" w:after="0"/>
    </w:pPr>
    <w:rPr>
      <w:color w:val="auto"/>
    </w:rPr>
  </w:style>
  <w:style w:type="paragraph" w:styleId="Valoracindeaptitudes">
    <w:name w:val="Valoración de aptitudes"/>
    <w:basedOn w:val="Normal"/>
    <w:qFormat/>
    <w:pPr>
      <w:spacing w:before="0" w:after="0"/>
      <w:jc w:val="right"/>
    </w:pPr>
    <w:rPr>
      <w:color w:val="auto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ustina-nperez@hot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LibreOffice/7.2.3.2$Linux_X86_64 LibreOffice_project/20$Build-2</Application>
  <AppVersion>15.0000</AppVersion>
  <Pages>1</Pages>
  <Words>147</Words>
  <Characters>822</Characters>
  <CharactersWithSpaces>957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2022-02-01T14:07:03Z</dcterms:created>
  <dc:creator>Matias Perez</dc:creator>
  <dc:description/>
  <dc:language>es-AR</dc:language>
  <cp:lastModifiedBy/>
  <dcterms:modified xsi:type="dcterms:W3CDTF">2022-02-01T11:26:35Z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