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Dinescu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 Managing candidates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is identified and authenticated as General Director or Recruiter, the position has been opened by the General Director prior to this.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of candidates has been modified (added new candidates, edited existing ones or deleted existing candidates).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login as a 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“Add a new candidate” button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form which contains all the fields that must be filled by the users.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completes the fields with the candidate’s data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does/does not require  relocation of the candidate.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uploads candidate’s CV and marks down the date of the interview.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adds comments made by the interviewer/s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“Submit” button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new entry and brings up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“Edit candidate” button near targeted candidate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up the form that contains the candidate’s information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makes the changes then clicks the “Finish editing” button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displays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“Delete candidate” button near the targeted candidate.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pop-up message asking the user to confirm the action of deleting the candidate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between confirming the action or canceling it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brings up a confirmation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an error in the “Add new candidate” form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   System pops up an error message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   System highlights the fields that need to be refilled 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   User refills the highlighted fields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   User clicks on the “Submit” button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an error in the “Edit candidate” form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   System pops up an error message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   System highlights the fields that need to be refilled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   User refills the highlighted fields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   User clicks on the “Finish editing” button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Dinescu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 Managing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Director, General Director, Department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is identified and authenticated as HR Director, General Director, Department Director or Recruiter. A position has been opened prior to this and/or a candidate has been registered by 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are made on a position and/or candidate’s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logged in as an HR Director, General Director, Department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comment section on the position/candidate’s profile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writes down the desired comment in the comment section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“Submit comment” button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displays a confirmation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that nothing was written in the comment section but the “Submit comment” button was pressed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  System pops up an error message saying that the field is empty and there is no comment to submit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User writes down the comment and presses the “Submit comment” button again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color w:val="7f6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