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6370" w:rsidRDefault="002D761F" w:rsidP="008C637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Common Size Analyses</w:t>
      </w:r>
    </w:p>
    <w:p w:rsidR="00474DC5" w:rsidRPr="00474DC5" w:rsidRDefault="00474DC5" w:rsidP="001D3B7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DC5">
        <w:rPr>
          <w:rFonts w:ascii="Times New Roman" w:eastAsia="Times New Roman" w:hAnsi="Times New Roman" w:cs="Times New Roman"/>
          <w:sz w:val="24"/>
          <w:szCs w:val="24"/>
        </w:rPr>
        <w:t>You are an equity analyst comparing two listed companies at the end of their most recent financial year (31 December 2025):</w:t>
      </w:r>
    </w:p>
    <w:p w:rsidR="00474DC5" w:rsidRPr="00474DC5" w:rsidRDefault="00474DC5" w:rsidP="001D3B74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4DC5">
        <w:rPr>
          <w:rFonts w:ascii="Times New Roman" w:eastAsia="Times New Roman" w:hAnsi="Times New Roman" w:cs="Times New Roman"/>
          <w:b/>
          <w:bCs/>
          <w:sz w:val="24"/>
          <w:szCs w:val="24"/>
        </w:rPr>
        <w:t>CloudSoft</w:t>
      </w:r>
      <w:proofErr w:type="spellEnd"/>
      <w:r w:rsidRPr="00474D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Ltd</w:t>
      </w:r>
      <w:r w:rsidRPr="00474DC5">
        <w:rPr>
          <w:rFonts w:ascii="Times New Roman" w:eastAsia="Times New Roman" w:hAnsi="Times New Roman" w:cs="Times New Roman"/>
          <w:sz w:val="24"/>
          <w:szCs w:val="24"/>
        </w:rPr>
        <w:t xml:space="preserve"> is a software-as-a-service (SaaS) company that develops and sells cloud-based enterprise software. It has relatively few physical assets, invests heavily in R&amp;D and acquisitions of other tech firms, and finances growth mainly through equity and retained earnings.</w:t>
      </w:r>
    </w:p>
    <w:p w:rsidR="00474DC5" w:rsidRDefault="00474DC5" w:rsidP="001D3B74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4DC5">
        <w:rPr>
          <w:rFonts w:ascii="Times New Roman" w:eastAsia="Times New Roman" w:hAnsi="Times New Roman" w:cs="Times New Roman"/>
          <w:b/>
          <w:bCs/>
          <w:sz w:val="24"/>
          <w:szCs w:val="24"/>
        </w:rPr>
        <w:t>SteelForge</w:t>
      </w:r>
      <w:proofErr w:type="spellEnd"/>
      <w:r w:rsidRPr="00474D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Ltd</w:t>
      </w:r>
      <w:r w:rsidRPr="00474DC5">
        <w:rPr>
          <w:rFonts w:ascii="Times New Roman" w:eastAsia="Times New Roman" w:hAnsi="Times New Roman" w:cs="Times New Roman"/>
          <w:sz w:val="24"/>
          <w:szCs w:val="24"/>
        </w:rPr>
        <w:t xml:space="preserve"> is a heavy industrial manufacturer of steel products and machinery. It requires large investments in factories, equipment and inventory, and traditionally uses a higher proportion of debt financing.</w:t>
      </w:r>
    </w:p>
    <w:p w:rsidR="00097642" w:rsidRPr="00474DC5" w:rsidRDefault="00097642" w:rsidP="00097642">
      <w:pPr>
        <w:spacing w:after="0" w:line="48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474DC5" w:rsidRDefault="00474DC5" w:rsidP="001D3B7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DC5">
        <w:rPr>
          <w:rFonts w:ascii="Times New Roman" w:eastAsia="Times New Roman" w:hAnsi="Times New Roman" w:cs="Times New Roman"/>
          <w:sz w:val="24"/>
          <w:szCs w:val="24"/>
        </w:rPr>
        <w:t>Both companies report under the same accounting standards. You have been given their simplified consolidated balance sheets below (all figures in HK$ million).</w:t>
      </w:r>
    </w:p>
    <w:p w:rsidR="00097642" w:rsidRPr="00474DC5" w:rsidRDefault="00097642" w:rsidP="001D3B7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4DC5" w:rsidRPr="00474DC5" w:rsidRDefault="00474DC5" w:rsidP="001D3B74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4DC5">
        <w:rPr>
          <w:rFonts w:ascii="Times New Roman" w:eastAsia="Times New Roman" w:hAnsi="Times New Roman" w:cs="Times New Roman"/>
          <w:b/>
          <w:bCs/>
          <w:sz w:val="24"/>
          <w:szCs w:val="24"/>
        </w:rPr>
        <w:t>Simplified Balance Sheets as at 31 December 2025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  <w:gridCol w:w="2232"/>
        <w:gridCol w:w="2520"/>
      </w:tblGrid>
      <w:tr w:rsidR="00474DC5" w:rsidRPr="00474DC5" w:rsidTr="00097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CloudSoft</w:t>
            </w:r>
            <w:proofErr w:type="spellEnd"/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SteelForge</w:t>
            </w:r>
            <w:proofErr w:type="spellEnd"/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Assets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Cash and cash equivalents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1,800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Accounts receivable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1,200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1,350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Inventories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2,700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Other current assets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current assets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3,500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4,800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Property, plant and equipment (net)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9,600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Intangible assets (including goodwill)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4,200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Long-term investments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Other non-current assets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non-current assets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6,500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11,200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assets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10,000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16,000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Liabilities and Equity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Accounts payable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1,600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Short-term borrowings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1,200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Other current liabilities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current liabilities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1,500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3,600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 debt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5,600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Other non-current liabilities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non-current liabilities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1,500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6,400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Share capital and share premium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3,500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2,000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Retained earnings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3,200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3,600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Other equity (including NCI)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equity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7,000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6,000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liabilities and equity</w:t>
            </w:r>
          </w:p>
        </w:tc>
        <w:tc>
          <w:tcPr>
            <w:tcW w:w="220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10,000</w:t>
            </w:r>
          </w:p>
        </w:tc>
        <w:tc>
          <w:tcPr>
            <w:tcW w:w="247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16,000</w:t>
            </w:r>
          </w:p>
        </w:tc>
      </w:tr>
    </w:tbl>
    <w:p w:rsidR="00474DC5" w:rsidRPr="00474DC5" w:rsidRDefault="00474DC5" w:rsidP="001D3B7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4DC5" w:rsidRPr="00474DC5" w:rsidRDefault="00474DC5" w:rsidP="001D3B74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4DC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</w:t>
      </w:r>
      <w:r w:rsidR="00EB53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74DC5" w:rsidRPr="00474DC5" w:rsidRDefault="00474DC5" w:rsidP="001D3B7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DC5">
        <w:rPr>
          <w:rFonts w:ascii="Times New Roman" w:eastAsia="Times New Roman" w:hAnsi="Times New Roman" w:cs="Times New Roman"/>
          <w:sz w:val="24"/>
          <w:szCs w:val="24"/>
        </w:rPr>
        <w:t xml:space="preserve">Prepare common-size balance sheets for both companies. Convert every line item into a percentage of </w:t>
      </w:r>
      <w:r w:rsidRPr="00474DC5">
        <w:rPr>
          <w:rFonts w:ascii="Times New Roman" w:eastAsia="Times New Roman" w:hAnsi="Times New Roman" w:cs="Times New Roman"/>
          <w:b/>
          <w:bCs/>
          <w:sz w:val="24"/>
          <w:szCs w:val="24"/>
        </w:rPr>
        <w:t>total assets</w:t>
      </w:r>
      <w:r w:rsidRPr="00474DC5">
        <w:rPr>
          <w:rFonts w:ascii="Times New Roman" w:eastAsia="Times New Roman" w:hAnsi="Times New Roman" w:cs="Times New Roman"/>
          <w:sz w:val="24"/>
          <w:szCs w:val="24"/>
        </w:rPr>
        <w:t>. Round to one decimal place.</w:t>
      </w:r>
    </w:p>
    <w:p w:rsidR="00EB5351" w:rsidRDefault="00EB5351" w:rsidP="001D3B74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74DC5" w:rsidRPr="00474DC5" w:rsidRDefault="00474DC5" w:rsidP="001D3B74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4DC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Solutions</w:t>
      </w:r>
    </w:p>
    <w:p w:rsidR="00474DC5" w:rsidRPr="00474DC5" w:rsidRDefault="00EB5351" w:rsidP="001D3B7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74DC5" w:rsidRPr="00474DC5">
        <w:rPr>
          <w:rFonts w:ascii="Times New Roman" w:eastAsia="Times New Roman" w:hAnsi="Times New Roman" w:cs="Times New Roman"/>
          <w:sz w:val="24"/>
          <w:szCs w:val="24"/>
        </w:rPr>
        <w:t>(All figures expressed as % of Total Assets)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  <w:gridCol w:w="2502"/>
        <w:gridCol w:w="2790"/>
      </w:tblGrid>
      <w:tr w:rsidR="00474DC5" w:rsidRPr="00474DC5" w:rsidTr="00097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CloudSoft</w:t>
            </w:r>
            <w:proofErr w:type="spellEnd"/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SteelForge</w:t>
            </w:r>
            <w:proofErr w:type="spellEnd"/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Assets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Cash and cash equivalents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18.0%</w:t>
            </w: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2.8%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Accounts receivable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12.0%</w:t>
            </w: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8.4%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Inventories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1.5%</w:t>
            </w: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16.9%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Other current assets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3.5%</w:t>
            </w: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1.9%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current assets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35.0%</w:t>
            </w: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30.0%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Property, plant and equipment (net)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0E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8.0%</w:t>
            </w:r>
          </w:p>
        </w:tc>
        <w:tc>
          <w:tcPr>
            <w:tcW w:w="2745" w:type="dxa"/>
            <w:vAlign w:val="center"/>
            <w:hideMark/>
          </w:tcPr>
          <w:p w:rsidR="00474DC5" w:rsidRPr="001830E0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1830E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60.0%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Intangible assets (including goodwill)</w:t>
            </w:r>
          </w:p>
        </w:tc>
        <w:tc>
          <w:tcPr>
            <w:tcW w:w="2472" w:type="dxa"/>
            <w:vAlign w:val="center"/>
            <w:hideMark/>
          </w:tcPr>
          <w:p w:rsidR="00474DC5" w:rsidRPr="001830E0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1830E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42.0%</w:t>
            </w:r>
          </w:p>
        </w:tc>
        <w:tc>
          <w:tcPr>
            <w:tcW w:w="2745" w:type="dxa"/>
            <w:vAlign w:val="center"/>
            <w:hideMark/>
          </w:tcPr>
          <w:p w:rsidR="00474DC5" w:rsidRPr="001830E0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1830E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3.8%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 investments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10.0%</w:t>
            </w: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2.5%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Other non-current assets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5.0%</w:t>
            </w: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3.8%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non-current assets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65.0%</w:t>
            </w: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70.0%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assets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100.0%</w:t>
            </w: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100.0%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Liabilities and Equity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Accounts payable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6.0%</w:t>
            </w: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10.0%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Short-term borrowings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2.0%</w:t>
            </w: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7.5%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Other current liabilities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7.0%</w:t>
            </w: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5.0%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current liabilities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15.0%</w:t>
            </w: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22.5%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 debt</w:t>
            </w:r>
          </w:p>
        </w:tc>
        <w:tc>
          <w:tcPr>
            <w:tcW w:w="2472" w:type="dxa"/>
            <w:vAlign w:val="center"/>
            <w:hideMark/>
          </w:tcPr>
          <w:p w:rsidR="00474DC5" w:rsidRPr="00E758F0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E758F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10.0%</w:t>
            </w:r>
          </w:p>
        </w:tc>
        <w:tc>
          <w:tcPr>
            <w:tcW w:w="2745" w:type="dxa"/>
            <w:vAlign w:val="center"/>
            <w:hideMark/>
          </w:tcPr>
          <w:p w:rsidR="00474DC5" w:rsidRPr="00E758F0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E758F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35.0%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Other non-current liabilities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5.0%</w:t>
            </w: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5.0%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Total non-current liabilities</w:t>
            </w:r>
          </w:p>
        </w:tc>
        <w:tc>
          <w:tcPr>
            <w:tcW w:w="2472" w:type="dxa"/>
            <w:vAlign w:val="center"/>
            <w:hideMark/>
          </w:tcPr>
          <w:p w:rsidR="00474DC5" w:rsidRPr="00E758F0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E758F0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15.0%</w:t>
            </w:r>
          </w:p>
        </w:tc>
        <w:tc>
          <w:tcPr>
            <w:tcW w:w="2745" w:type="dxa"/>
            <w:vAlign w:val="center"/>
            <w:hideMark/>
          </w:tcPr>
          <w:p w:rsidR="00474DC5" w:rsidRPr="00E758F0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E758F0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40.0%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Share capital and share premium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35.0%</w:t>
            </w: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12.5%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Retained earnings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32.0%</w:t>
            </w: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22.5%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Other equity (including NCI)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3.0%</w:t>
            </w: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sz w:val="24"/>
                <w:szCs w:val="24"/>
              </w:rPr>
              <w:t>2.5%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equity</w:t>
            </w:r>
          </w:p>
        </w:tc>
        <w:tc>
          <w:tcPr>
            <w:tcW w:w="2472" w:type="dxa"/>
            <w:vAlign w:val="center"/>
            <w:hideMark/>
          </w:tcPr>
          <w:p w:rsidR="00474DC5" w:rsidRPr="00E758F0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E758F0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70.0%</w:t>
            </w:r>
          </w:p>
        </w:tc>
        <w:tc>
          <w:tcPr>
            <w:tcW w:w="2745" w:type="dxa"/>
            <w:vAlign w:val="center"/>
            <w:hideMark/>
          </w:tcPr>
          <w:p w:rsidR="00474DC5" w:rsidRPr="00E758F0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E758F0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37.5%</w:t>
            </w:r>
          </w:p>
        </w:tc>
      </w:tr>
      <w:tr w:rsidR="00474DC5" w:rsidRPr="00474DC5" w:rsidTr="0009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liabilities and equity</w:t>
            </w:r>
          </w:p>
        </w:tc>
        <w:tc>
          <w:tcPr>
            <w:tcW w:w="2472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100.0%</w:t>
            </w:r>
          </w:p>
        </w:tc>
        <w:tc>
          <w:tcPr>
            <w:tcW w:w="2745" w:type="dxa"/>
            <w:vAlign w:val="center"/>
            <w:hideMark/>
          </w:tcPr>
          <w:p w:rsidR="00474DC5" w:rsidRPr="00474DC5" w:rsidRDefault="00474DC5" w:rsidP="00097642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100.0%</w:t>
            </w:r>
          </w:p>
        </w:tc>
      </w:tr>
    </w:tbl>
    <w:p w:rsidR="001830E0" w:rsidRDefault="001830E0" w:rsidP="00EB535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1830E0" w:rsidRPr="00474DC5" w:rsidRDefault="001830E0" w:rsidP="001830E0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4DC5">
        <w:rPr>
          <w:rFonts w:ascii="Times New Roman" w:eastAsia="Times New Roman" w:hAnsi="Times New Roman" w:cs="Times New Roman"/>
          <w:b/>
          <w:bCs/>
          <w:sz w:val="24"/>
          <w:szCs w:val="24"/>
        </w:rPr>
        <w:t>CloudSoft</w:t>
      </w:r>
      <w:proofErr w:type="spellEnd"/>
      <w:r w:rsidRPr="00474D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Ltd</w:t>
      </w:r>
      <w:r w:rsidRPr="00474DC5">
        <w:rPr>
          <w:rFonts w:ascii="Times New Roman" w:eastAsia="Times New Roman" w:hAnsi="Times New Roman" w:cs="Times New Roman"/>
          <w:sz w:val="24"/>
          <w:szCs w:val="24"/>
        </w:rPr>
        <w:t xml:space="preserve"> has relatively few physical assets, invests heavily in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intangible assets (e.g., </w:t>
      </w:r>
      <w:r w:rsidRPr="00474DC5">
        <w:rPr>
          <w:rFonts w:ascii="Times New Roman" w:eastAsia="Times New Roman" w:hAnsi="Times New Roman" w:cs="Times New Roman"/>
          <w:sz w:val="24"/>
          <w:szCs w:val="24"/>
        </w:rPr>
        <w:t>R&amp;D and acquisitions of other tech firms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74DC5">
        <w:rPr>
          <w:rFonts w:ascii="Times New Roman" w:eastAsia="Times New Roman" w:hAnsi="Times New Roman" w:cs="Times New Roman"/>
          <w:sz w:val="24"/>
          <w:szCs w:val="24"/>
        </w:rPr>
        <w:t>, and finances growth mainly through equity and retained earnings.</w:t>
      </w:r>
    </w:p>
    <w:p w:rsidR="001830E0" w:rsidRDefault="001830E0" w:rsidP="001830E0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4DC5">
        <w:rPr>
          <w:rFonts w:ascii="Times New Roman" w:eastAsia="Times New Roman" w:hAnsi="Times New Roman" w:cs="Times New Roman"/>
          <w:b/>
          <w:bCs/>
          <w:sz w:val="24"/>
          <w:szCs w:val="24"/>
        </w:rPr>
        <w:t>SteelForge</w:t>
      </w:r>
      <w:proofErr w:type="spellEnd"/>
      <w:r w:rsidRPr="00474D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Ltd</w:t>
      </w:r>
      <w:r w:rsidRPr="00474DC5">
        <w:rPr>
          <w:rFonts w:ascii="Times New Roman" w:eastAsia="Times New Roman" w:hAnsi="Times New Roman" w:cs="Times New Roman"/>
          <w:sz w:val="24"/>
          <w:szCs w:val="24"/>
        </w:rPr>
        <w:t xml:space="preserve"> requires large investments in factories, equipment and inventory, and traditionally uses a higher proportion of debt financing.</w:t>
      </w:r>
    </w:p>
    <w:p w:rsidR="00704B49" w:rsidRPr="001830E0" w:rsidRDefault="00704B49" w:rsidP="001830E0">
      <w:pPr>
        <w:rPr>
          <w:rFonts w:ascii="Times New Roman" w:hAnsi="Times New Roman" w:cs="Times New Roman"/>
          <w:sz w:val="24"/>
          <w:szCs w:val="24"/>
        </w:rPr>
      </w:pPr>
    </w:p>
    <w:sectPr w:rsidR="00704B49" w:rsidRPr="00183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6D69" w:rsidRDefault="009D6D69" w:rsidP="00A025E7">
      <w:pPr>
        <w:spacing w:after="0" w:line="240" w:lineRule="auto"/>
      </w:pPr>
      <w:r>
        <w:separator/>
      </w:r>
    </w:p>
  </w:endnote>
  <w:endnote w:type="continuationSeparator" w:id="0">
    <w:p w:rsidR="009D6D69" w:rsidRDefault="009D6D69" w:rsidP="00A02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6D69" w:rsidRDefault="009D6D69" w:rsidP="00A025E7">
      <w:pPr>
        <w:spacing w:after="0" w:line="240" w:lineRule="auto"/>
      </w:pPr>
      <w:r>
        <w:separator/>
      </w:r>
    </w:p>
  </w:footnote>
  <w:footnote w:type="continuationSeparator" w:id="0">
    <w:p w:rsidR="009D6D69" w:rsidRDefault="009D6D69" w:rsidP="00A02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2103E"/>
    <w:multiLevelType w:val="multilevel"/>
    <w:tmpl w:val="BEA4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C7051"/>
    <w:multiLevelType w:val="multilevel"/>
    <w:tmpl w:val="540C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D0798"/>
    <w:multiLevelType w:val="multilevel"/>
    <w:tmpl w:val="2A2E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582BB5"/>
    <w:multiLevelType w:val="multilevel"/>
    <w:tmpl w:val="EA66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E7"/>
    <w:rsid w:val="00097642"/>
    <w:rsid w:val="001830E0"/>
    <w:rsid w:val="001D3B74"/>
    <w:rsid w:val="002D761F"/>
    <w:rsid w:val="00474DC5"/>
    <w:rsid w:val="006F6BB7"/>
    <w:rsid w:val="00704B49"/>
    <w:rsid w:val="00715149"/>
    <w:rsid w:val="008C6370"/>
    <w:rsid w:val="009D6D69"/>
    <w:rsid w:val="00A025E7"/>
    <w:rsid w:val="00BE2E5F"/>
    <w:rsid w:val="00E758F0"/>
    <w:rsid w:val="00EB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28D064"/>
  <w15:chartTrackingRefBased/>
  <w15:docId w15:val="{FB6B4CB6-814D-44B1-8A07-0865CB31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30E0"/>
  </w:style>
  <w:style w:type="paragraph" w:styleId="Heading3">
    <w:name w:val="heading 3"/>
    <w:basedOn w:val="Normal"/>
    <w:link w:val="Heading3Char"/>
    <w:uiPriority w:val="9"/>
    <w:qFormat/>
    <w:rsid w:val="00474D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74D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4DC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74DC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74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4DC5"/>
    <w:rPr>
      <w:b/>
      <w:bCs/>
    </w:rPr>
  </w:style>
  <w:style w:type="character" w:styleId="Emphasis">
    <w:name w:val="Emphasis"/>
    <w:basedOn w:val="DefaultParagraphFont"/>
    <w:uiPriority w:val="20"/>
    <w:qFormat/>
    <w:rsid w:val="00474DC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B5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351"/>
  </w:style>
  <w:style w:type="paragraph" w:styleId="Footer">
    <w:name w:val="footer"/>
    <w:basedOn w:val="Normal"/>
    <w:link w:val="FooterChar"/>
    <w:uiPriority w:val="99"/>
    <w:unhideWhenUsed/>
    <w:rsid w:val="00EB5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39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1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1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77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0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1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03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75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84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85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832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37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4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17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60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2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0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43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ZHU Xindong</dc:creator>
  <cp:keywords/>
  <dc:description/>
  <cp:lastModifiedBy>Prof. ZHU Xindong</cp:lastModifiedBy>
  <cp:revision>5</cp:revision>
  <dcterms:created xsi:type="dcterms:W3CDTF">2026-09-11T08:34:00Z</dcterms:created>
  <dcterms:modified xsi:type="dcterms:W3CDTF">2026-09-11T08:45:00Z</dcterms:modified>
</cp:coreProperties>
</file>