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
      </w:pPr>
      <w:r>
        <w:rPr>
          <w:rFonts w:ascii="Open Sans" w:cs="Open Sans" w:eastAsia="Open Sans" w:hAnsi="Open Sans"/>
          <w:b/>
          <w:bCs/>
          <w:color w:val="2D5BFF"/>
          <w:spacing w:val="100"/>
          <w:sz w:val="22"/>
          <w:szCs w:val="22"/>
        </w:rPr>
        <w:t xml:space="preserve">NEURALSEEK</w:t>
      </w:r>
    </w:p>
    <w:p>
      <w:pPr>
        <w:spacing w:after="200"/>
      </w:pPr>
      <w:r>
        <w:rPr>
          <w:rFonts w:ascii="Open Sans" w:cs="Open Sans" w:eastAsia="Open Sans" w:hAnsi="Open Sans"/>
          <w:b/>
          <w:bCs/>
          <w:color w:val="0B1220"/>
          <w:sz w:val="56"/>
          <w:szCs w:val="56"/>
        </w:rPr>
        <w:t xml:space="preserve">Platform-Level AI Ops Settings</w:t>
      </w:r>
    </w:p>
    <w:p>
      <w:pPr>
        <w:pBdr>
          <w:bottom w:val="single" w:color="2D5BFF" w:sz="18" w:space="8"/>
        </w:pBdr>
        <w:spacing w:after="320"/>
      </w:pPr>
      <w:r>
        <w:rPr>
          <w:rFonts w:ascii="Open Sans" w:cs="Open Sans" w:eastAsia="Open Sans" w:hAnsi="Open Sans"/>
          <w:i/>
          <w:iCs/>
          <w:color w:val="4A5160"/>
          <w:sz w:val="22"/>
          <w:szCs w:val="22"/>
        </w:rPr>
        <w:t xml:space="preserve">A reference for every Configure-tab control that governs how NeuralSeek behaves at the platform level — timeouts, context, language, caching, governance, prompt engineering, and secrets.</w:t>
      </w:r>
    </w:p>
    <w:p>
      <w:pPr>
        <w:spacing w:after="120" w:before="80" w:line="300"/>
      </w:pPr>
      <w:r>
        <w:rPr>
          <w:rFonts w:ascii="Consolas" w:cs="Consolas" w:eastAsia="Consolas" w:hAnsi="Consolas"/>
          <w:b/>
          <w:bCs/>
          <w:color w:val="7A8194"/>
          <w:sz w:val="16"/>
          <w:szCs w:val="16"/>
        </w:rPr>
        <w:t xml:space="preserve">Audience  </w:t>
      </w:r>
      <w:r>
        <w:rPr>
          <w:rFonts w:ascii="Open Sans" w:cs="Open Sans" w:eastAsia="Open Sans" w:hAnsi="Open Sans"/>
          <w:color w:val="0B1220"/>
          <w:sz w:val="22"/>
          <w:szCs w:val="22"/>
        </w:rPr>
        <w:t xml:space="preserve">Administrators, AI Ops engineers, and Solution Architects responsible for the production behavior of a NeuralSeek instance.</w:t>
      </w:r>
    </w:p>
    <w:p>
      <w:pPr>
        <w:spacing w:after="120" w:before="80" w:line="300"/>
      </w:pPr>
      <w:r>
        <w:rPr>
          <w:rFonts w:ascii="Consolas" w:cs="Consolas" w:eastAsia="Consolas" w:hAnsi="Consolas"/>
          <w:b/>
          <w:bCs/>
          <w:color w:val="7A8194"/>
          <w:sz w:val="16"/>
          <w:szCs w:val="16"/>
        </w:rPr>
        <w:t xml:space="preserve">Scope     </w:t>
      </w:r>
      <w:r>
        <w:rPr>
          <w:rFonts w:ascii="Open Sans" w:cs="Open Sans" w:eastAsia="Open Sans" w:hAnsi="Open Sans"/>
          <w:color w:val="0B1220"/>
          <w:sz w:val="22"/>
          <w:szCs w:val="22"/>
        </w:rPr>
        <w:t xml:space="preserve">Settings that apply globally (or per Multi-Agent Routing category) — distinct from per-call API parameters set on individual mAIstro nodes.</w:t>
      </w:r>
    </w:p>
    <w:p>
      <w:pPr>
        <w:spacing w:after="120" w:before="80" w:line="300"/>
      </w:pPr>
      <w:r>
        <w:rPr>
          <w:rFonts w:ascii="Consolas" w:cs="Consolas" w:eastAsia="Consolas" w:hAnsi="Consolas"/>
          <w:b/>
          <w:bCs/>
          <w:color w:val="7A8194"/>
          <w:sz w:val="16"/>
          <w:szCs w:val="16"/>
        </w:rPr>
        <w:t xml:space="preserve">Sections  </w:t>
      </w:r>
      <w:r>
        <w:rPr>
          <w:rFonts w:ascii="Open Sans" w:cs="Open Sans" w:eastAsia="Open Sans" w:hAnsi="Open Sans"/>
          <w:color w:val="0B1220"/>
          <w:sz w:val="22"/>
          <w:szCs w:val="22"/>
        </w:rPr>
        <w:t xml:space="preserve">Platform Preferences · Corporate Document Filter · Corporate Logging · Prompt Engineering · Answer Engineering &amp; Preferences · Intent Matching &amp; Cache · Secrets</w:t>
      </w:r>
    </w:p>
    <w:p>
      <w:r>
        <w:br w:type="page"/>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1. Platform Preferences</w:t>
      </w:r>
    </w:p>
    <w:p>
      <w:pPr>
        <w:spacing w:after="120" w:before="80" w:line="300"/>
      </w:pPr>
      <w:r>
        <w:rPr>
          <w:rFonts w:ascii="Open Sans" w:cs="Open Sans" w:eastAsia="Open Sans" w:hAnsi="Open Sans"/>
          <w:color w:val="0B1220"/>
          <w:sz w:val="22"/>
          <w:szCs w:val="22"/>
        </w:rPr>
        <w:t xml:space="preserve">Platform Preferences is the broadest panel in the Configure tab. It covers timeouts and context windows, language behavior, output formatting, virtual-agent integration, and instance-level security defaults. Most of these settings ship with sensible defaults — but each one becomes important the first time it is wrong.</w:t>
      </w:r>
    </w:p>
    <w:p>
      <w:pPr>
        <w:spacing w:after="80" w:before="200"/>
        <w:jc w:val="center"/>
      </w:pPr>
      <w:r>
        <w:drawing>
          <wp:inline distT="0" distB="0" distL="0" distR="0">
            <wp:extent cx="5143500" cy="7077075"/>
            <wp:effectExtent t="0" r="0" b="0" l="0"/>
            <wp:docPr id="1" name="platform_preferences.png" descr="platform_preferences.png" title="platform_prefere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7077075"/>
                    </a:xfrm>
                    <a:prstGeom prst="rect">
                      <a:avLst/>
                    </a:prstGeom>
                  </pic:spPr>
                </pic:pic>
              </a:graphicData>
            </a:graphic>
          </wp:inline>
        </w:drawing>
      </w:r>
    </w:p>
    <w:p>
      <w:pPr>
        <w:spacing w:after="240"/>
        <w:jc w:val="center"/>
      </w:pPr>
      <w:r>
        <w:rPr>
          <w:rFonts w:ascii="Open Sans" w:cs="Open Sans" w:eastAsia="Open Sans" w:hAnsi="Open Sans"/>
          <w:i/>
          <w:iCs/>
          <w:color w:val="7A8194"/>
          <w:sz w:val="18"/>
          <w:szCs w:val="18"/>
        </w:rPr>
        <w:t xml:space="preserve">Figure: Platform Preferences panel</w:t>
      </w:r>
    </w:p>
    <w:p>
      <w:pPr>
        <w:pStyle w:val="Heading3"/>
        <w:spacing w:after="120" w:before="320"/>
      </w:pPr>
      <w:r>
        <w:rPr>
          <w:rFonts w:ascii="Open Sans" w:cs="Open Sans" w:eastAsia="Open Sans" w:hAnsi="Open Sans"/>
          <w:b/>
          <w:bCs/>
          <w:color w:val="2D5BFF"/>
          <w:sz w:val="26"/>
          <w:szCs w:val="26"/>
        </w:rPr>
        <w:t xml:space="preserve">Timeouts &amp; Context Windows</w:t>
      </w:r>
    </w:p>
    <w:p>
      <w:pPr>
        <w:spacing w:after="60" w:before="200"/>
      </w:pPr>
      <w:r>
        <w:rPr>
          <w:rFonts w:ascii="Consolas" w:cs="Consolas" w:eastAsia="Consolas" w:hAnsi="Consolas"/>
          <w:b/>
          <w:bCs/>
          <w:color w:val="5B2DFF"/>
          <w:sz w:val="20"/>
          <w:szCs w:val="20"/>
          <w:shd w:fill="F5F5F5" w:val="clear"/>
        </w:rPr>
        <w:t xml:space="preserve"> Timeout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Language Generation Timeout in milliseconds (e.g. 27000 = 27 seconds). When the LLM does not return within this window, NeuralSeek attempts to serve the closest cached answer instead of failing.</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Set this 2–5 seconds shorter than the upstream chatbot platform timeout. If the upstream times out first, the user sees a generic error instead of the cached fallback NeuralSeek would have given them.</w:t>
      </w:r>
    </w:p>
    <w:p>
      <w:pPr>
        <w:spacing w:after="60" w:before="200"/>
      </w:pPr>
      <w:r>
        <w:rPr>
          <w:rFonts w:ascii="Consolas" w:cs="Consolas" w:eastAsia="Consolas" w:hAnsi="Consolas"/>
          <w:b/>
          <w:bCs/>
          <w:color w:val="5B2DFF"/>
          <w:sz w:val="20"/>
          <w:szCs w:val="20"/>
          <w:shd w:fill="F5F5F5" w:val="clear"/>
        </w:rPr>
        <w:t xml:space="preserve"> Context Turns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Maximum number of previous turns of conversation history sent to the LLM with each call.</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More context turns mean better follow-up handling, but each turn consumes input tokens — eating into the budget available for source documents and increasing prompt-injection surface area. Production defaults of 1–3 are usually right; raising above 5 is rarely worth the trade.</w:t>
      </w:r>
    </w:p>
    <w:p>
      <w:pPr>
        <w:spacing w:after="60" w:before="200"/>
      </w:pPr>
      <w:r>
        <w:rPr>
          <w:rFonts w:ascii="Consolas" w:cs="Consolas" w:eastAsia="Consolas" w:hAnsi="Consolas"/>
          <w:b/>
          <w:bCs/>
          <w:color w:val="5B2DFF"/>
          <w:sz w:val="20"/>
          <w:szCs w:val="20"/>
          <w:shd w:fill="F5F5F5" w:val="clear"/>
        </w:rPr>
        <w:t xml:space="preserve"> Context Timeout — Session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How long (in seconds, here 360,000 = 100 hours) a session_id-based session is retained. After this window the conversation context is discarded.</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Long session timeouts are useful for stateful chatbots where users may walk away and return. Short timeouts are safer for kiosk or shared-device deployments where a stale session can leak across users.</w:t>
      </w:r>
    </w:p>
    <w:p>
      <w:pPr>
        <w:spacing w:after="60" w:before="200"/>
      </w:pPr>
      <w:r>
        <w:rPr>
          <w:rFonts w:ascii="Consolas" w:cs="Consolas" w:eastAsia="Consolas" w:hAnsi="Consolas"/>
          <w:b/>
          <w:bCs/>
          <w:color w:val="5B2DFF"/>
          <w:sz w:val="20"/>
          <w:szCs w:val="20"/>
          <w:shd w:fill="F5F5F5" w:val="clear"/>
        </w:rPr>
        <w:t xml:space="preserve"> Context Timeout — User Only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Same as above but for sessions that have no session_id (1,800 sec = 30 min default).</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This is the fallback for unauthenticated traffic. Keep it short — anonymous-user context that lingers too long is the most common source of "why is my chatbot remembering things from another visitor" tickets.</w:t>
      </w:r>
    </w:p>
    <w:p>
      <w:pPr>
        <w:spacing w:after="60" w:before="200"/>
      </w:pPr>
      <w:r>
        <w:rPr>
          <w:rFonts w:ascii="Consolas" w:cs="Consolas" w:eastAsia="Consolas" w:hAnsi="Consolas"/>
          <w:b/>
          <w:bCs/>
          <w:color w:val="5B2DFF"/>
          <w:sz w:val="20"/>
          <w:szCs w:val="20"/>
          <w:shd w:fill="F5F5F5" w:val="clear"/>
        </w:rPr>
        <w:t xml:space="preserve"> Context detection (Detection Method)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Choose between the fast built-in model (Model Only) or a custom LLM-based mAIstro flow for part-of-speech tagging and pronoun resolution.</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Model Only is faster and free; the LLM-based flow is more accurate for languages or domains the built-in model handles poorly. Switch only if you measure a concrete failure mode in the default.</w:t>
      </w:r>
    </w:p>
    <w:p>
      <w:pPr>
        <w:spacing w:after="60" w:before="200"/>
      </w:pPr>
      <w:r>
        <w:rPr>
          <w:rFonts w:ascii="Consolas" w:cs="Consolas" w:eastAsia="Consolas" w:hAnsi="Consolas"/>
          <w:b/>
          <w:bCs/>
          <w:color w:val="5B2DFF"/>
          <w:sz w:val="20"/>
          <w:szCs w:val="20"/>
          <w:shd w:fill="F5F5F5" w:val="clear"/>
        </w:rPr>
        <w:t xml:space="preserve"> Force carry context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True, if no nouns or subject are detected in a question, NeuralSeek assumes the user is following up on the previous turn.</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A double-edged sword. Helpful for short questions like "what about that?" — but in noisy or multi-user environments it can carry irrelevant context forward. Default False unless your traffic is genuinely conversational.</w:t>
      </w:r>
    </w:p>
    <w:p>
      <w:pPr>
        <w:pStyle w:val="Heading3"/>
        <w:spacing w:after="120" w:before="320"/>
      </w:pPr>
      <w:r>
        <w:rPr>
          <w:rFonts w:ascii="Open Sans" w:cs="Open Sans" w:eastAsia="Open Sans" w:hAnsi="Open Sans"/>
          <w:b/>
          <w:bCs/>
          <w:color w:val="2D5BFF"/>
          <w:sz w:val="26"/>
          <w:szCs w:val="26"/>
        </w:rPr>
        <w:t xml:space="preserve">Localization</w:t>
      </w:r>
    </w:p>
    <w:p>
      <w:pPr>
        <w:spacing w:after="60" w:before="200"/>
      </w:pPr>
      <w:r>
        <w:rPr>
          <w:rFonts w:ascii="Consolas" w:cs="Consolas" w:eastAsia="Consolas" w:hAnsi="Consolas"/>
          <w:b/>
          <w:bCs/>
          <w:color w:val="5B2DFF"/>
          <w:sz w:val="20"/>
          <w:szCs w:val="20"/>
          <w:shd w:fill="F5F5F5" w:val="clear"/>
        </w:rPr>
        <w:t xml:space="preserve"> Cross Language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Translates the user query into the KnowledgeBase language before search, then translates the answer back. Disables Semantic Scoring (which can't operate cross-language).</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Enables a multilingual front-end on top of a single-language KB. Trade-off: losing Semantic Scoring removes a major hallucination guardrail, so cross-language deployments rely more heavily on KB confidence and explicit minimum-confidence settings.</w:t>
      </w:r>
    </w:p>
    <w:p>
      <w:pPr>
        <w:spacing w:after="60" w:before="200"/>
      </w:pPr>
      <w:r>
        <w:rPr>
          <w:rFonts w:ascii="Consolas" w:cs="Consolas" w:eastAsia="Consolas" w:hAnsi="Consolas"/>
          <w:b/>
          <w:bCs/>
          <w:color w:val="5B2DFF"/>
          <w:sz w:val="20"/>
          <w:szCs w:val="20"/>
          <w:shd w:fill="F5F5F5" w:val="clear"/>
        </w:rPr>
        <w:t xml:space="preserve"> Default Language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Sets the default output language. Can be overridden per call via the API or Seek tab. "Match input" tries to detect the user's language and reply in kind.</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Set this to the most common user language. "Match input" is convenient but adds detection latency to every call — fine for international deployments, overkill for monolingual ones.</w:t>
      </w:r>
    </w:p>
    <w:p>
      <w:pPr>
        <w:pStyle w:val="Heading3"/>
        <w:spacing w:after="120" w:before="320"/>
      </w:pPr>
      <w:r>
        <w:rPr>
          <w:rFonts w:ascii="Open Sans" w:cs="Open Sans" w:eastAsia="Open Sans" w:hAnsi="Open Sans"/>
          <w:b/>
          <w:bCs/>
          <w:color w:val="2D5BFF"/>
          <w:sz w:val="26"/>
          <w:szCs w:val="26"/>
        </w:rPr>
        <w:t xml:space="preserve">Filtering &amp; Output Behavior</w:t>
      </w:r>
    </w:p>
    <w:p>
      <w:pPr>
        <w:spacing w:after="60" w:before="200"/>
      </w:pPr>
      <w:r>
        <w:rPr>
          <w:rFonts w:ascii="Consolas" w:cs="Consolas" w:eastAsia="Consolas" w:hAnsi="Consolas"/>
          <w:b/>
          <w:bCs/>
          <w:color w:val="5B2DFF"/>
          <w:sz w:val="20"/>
          <w:szCs w:val="20"/>
          <w:shd w:fill="F5F5F5" w:val="clear"/>
        </w:rPr>
        <w:t xml:space="preserve"> Relax Filters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True and a filtered search returns zero documents, retries without the filter. The "Must Keep Keys" list names filters that must never be relaxed.</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Useful as a graceful-degradation safety net so users never get an empty answer because of an over-tight filter. The Must Keep list is critical for security-sensitive filters (tenant ID, PII restrictions) that must never be silently dropped.</w:t>
      </w:r>
    </w:p>
    <w:p>
      <w:pPr>
        <w:spacing w:after="60" w:before="200"/>
      </w:pPr>
      <w:r>
        <w:rPr>
          <w:rFonts w:ascii="Consolas" w:cs="Consolas" w:eastAsia="Consolas" w:hAnsi="Consolas"/>
          <w:b/>
          <w:bCs/>
          <w:color w:val="5B2DFF"/>
          <w:sz w:val="20"/>
          <w:szCs w:val="20"/>
          <w:shd w:fill="F5F5F5" w:val="clear"/>
        </w:rPr>
        <w:t xml:space="preserve"> mAIstro Stream Plan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Streams the agent's plan (the intermediate reasoning steps mAIstro takes) back to the caller in addition to the final answer.</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Helpful for debugging and for "show your work" UIs. Disable in production endpoints where you don't want the agent's internal flow exposed to end users.</w:t>
      </w:r>
    </w:p>
    <w:p>
      <w:pPr>
        <w:spacing w:after="60" w:before="200"/>
      </w:pPr>
      <w:r>
        <w:rPr>
          <w:rFonts w:ascii="Consolas" w:cs="Consolas" w:eastAsia="Consolas" w:hAnsi="Consolas"/>
          <w:b/>
          <w:bCs/>
          <w:color w:val="5B2DFF"/>
          <w:sz w:val="20"/>
          <w:szCs w:val="20"/>
          <w:shd w:fill="F5F5F5" w:val="clear"/>
        </w:rPr>
        <w:t xml:space="preserve"> Log Alternate Configs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a Seek call uses a Proposal or runtime override, controls whether the answer is still logged to the Curate tab.</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Default True is right for most teams — even alternate-config answers are valuable training data. Disable only if proposals are used so heavily they would pollute Curate tab analytics.</w:t>
      </w:r>
    </w:p>
    <w:p>
      <w:pPr>
        <w:pStyle w:val="Heading3"/>
        <w:spacing w:after="120" w:before="320"/>
      </w:pPr>
      <w:r>
        <w:rPr>
          <w:rFonts w:ascii="Open Sans" w:cs="Open Sans" w:eastAsia="Open Sans" w:hAnsi="Open Sans"/>
          <w:b/>
          <w:bCs/>
          <w:color w:val="2D5BFF"/>
          <w:sz w:val="26"/>
          <w:szCs w:val="26"/>
        </w:rPr>
        <w:t xml:space="preserve">Security</w:t>
      </w:r>
    </w:p>
    <w:p>
      <w:pPr>
        <w:spacing w:after="60" w:before="200"/>
      </w:pPr>
      <w:r>
        <w:rPr>
          <w:rFonts w:ascii="Consolas" w:cs="Consolas" w:eastAsia="Consolas" w:hAnsi="Consolas"/>
          <w:b/>
          <w:bCs/>
          <w:color w:val="5B2DFF"/>
          <w:sz w:val="20"/>
          <w:szCs w:val="20"/>
          <w:shd w:fill="F5F5F5" w:val="clear"/>
        </w:rPr>
        <w:t xml:space="preserve"> Hide API Keys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True, hides API keys for connected platforms from Configure-tab admins. Re-importing a configuration file will require re-entering all keys.</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Strongly recommended for shared admin environments. The catch: this setting cannot be reversed. Set it once you have stable infrastructure, not while you're still rotating credentials during setup.</w:t>
      </w:r>
    </w:p>
    <w:p>
      <w:pPr>
        <w:spacing w:after="0" w:before="200"/>
        <w:ind w:left="240"/>
      </w:pPr>
      <w:r>
        <w:rPr>
          <w:rFonts w:ascii="Consolas" w:cs="Consolas" w:eastAsia="Consolas" w:hAnsi="Consolas"/>
          <w:b/>
          <w:bCs/>
          <w:color w:val="991B1B"/>
          <w:spacing w:val="80"/>
          <w:sz w:val="16"/>
          <w:szCs w:val="16"/>
        </w:rPr>
        <w:t xml:space="preserve">WARNING</w:t>
      </w:r>
    </w:p>
    <w:p>
      <w:pPr>
        <w:pBdr>
          <w:left w:val="single" w:color="991B1B" w:sz="18" w:space="12"/>
        </w:pBdr>
        <w:shd w:fill="F5F5F5" w:val="clear"/>
        <w:spacing w:after="200" w:before="40" w:line="290"/>
        <w:ind w:left="240" w:right="120"/>
      </w:pPr>
      <w:r>
        <w:rPr>
          <w:rFonts w:ascii="Open Sans" w:cs="Open Sans" w:eastAsia="Open Sans" w:hAnsi="Open Sans"/>
          <w:color w:val="0B1220"/>
          <w:sz w:val="22"/>
          <w:szCs w:val="22"/>
        </w:rPr>
        <w:t xml:space="preserve">Once Hide API Keys is set to True, it cannot be disabled. Confirm your credential management process can support re-entering all keys when importing configurations before flipping this switch.</w:t>
      </w:r>
    </w:p>
    <w:p>
      <w:pPr>
        <w:pStyle w:val="Heading3"/>
        <w:spacing w:after="120" w:before="320"/>
      </w:pPr>
      <w:r>
        <w:rPr>
          <w:rFonts w:ascii="Open Sans" w:cs="Open Sans" w:eastAsia="Open Sans" w:hAnsi="Open Sans"/>
          <w:b/>
          <w:bCs/>
          <w:color w:val="2D5BFF"/>
          <w:sz w:val="26"/>
          <w:szCs w:val="26"/>
        </w:rPr>
        <w:t xml:space="preserve">Output Format</w:t>
      </w:r>
    </w:p>
    <w:p>
      <w:pPr>
        <w:spacing w:after="60" w:before="200"/>
      </w:pPr>
      <w:r>
        <w:rPr>
          <w:rFonts w:ascii="Consolas" w:cs="Consolas" w:eastAsia="Consolas" w:hAnsi="Consolas"/>
          <w:b/>
          <w:bCs/>
          <w:color w:val="5B2DFF"/>
          <w:sz w:val="20"/>
          <w:szCs w:val="20"/>
          <w:shd w:fill="F5F5F5" w:val="clear"/>
        </w:rPr>
        <w:t xml:space="preserve"> Virtual Agent Type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using the Curate tab to auto-build a virtual agent, sets the export format (None, Webpage HTML, or a specific VA platform).</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Pick the format your downstream chat platform actually consumes. Mismatches here are a common cause of "the export looks fine but the agent won't import it" issues.</w:t>
      </w:r>
    </w:p>
    <w:p>
      <w:pPr>
        <w:spacing w:after="60" w:before="200"/>
      </w:pPr>
      <w:r>
        <w:rPr>
          <w:rFonts w:ascii="Consolas" w:cs="Consolas" w:eastAsia="Consolas" w:hAnsi="Consolas"/>
          <w:b/>
          <w:bCs/>
          <w:color w:val="5B2DFF"/>
          <w:sz w:val="20"/>
          <w:szCs w:val="20"/>
          <w:shd w:fill="F5F5F5" w:val="clear"/>
        </w:rPr>
        <w:t xml:space="preserve"> Embed links into returned responses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enabled, NeuralSeek inserts clickable source links directly into the answer body for Virtual Agent Types that support markdown or HTML.</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Adds source attribution and lets users dig deeper without follow-up turns. Disable only if your chat surface mangles markdown or if you need link-free plain text.</w:t>
      </w:r>
    </w:p>
    <w:p>
      <w:pPr>
        <w:spacing w:after="60" w:before="200"/>
      </w:pPr>
      <w:r>
        <w:rPr>
          <w:rFonts w:ascii="Consolas" w:cs="Consolas" w:eastAsia="Consolas" w:hAnsi="Consolas"/>
          <w:b/>
          <w:bCs/>
          <w:color w:val="5B2DFF"/>
          <w:sz w:val="20"/>
          <w:szCs w:val="20"/>
          <w:shd w:fill="F5F5F5" w:val="clear"/>
        </w:rPr>
        <w:t xml:space="preserve"> Only show unique embedded links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Deduplicates embedded source links so the same URL doesn't appear multiple times in one answer.</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A small UX polish that matters more than it sounds — answers that cite the same article five times look spammy and erode user trust.</w:t>
      </w:r>
    </w:p>
    <w:p>
      <w:pPr>
        <w:spacing w:after="60" w:before="200"/>
      </w:pPr>
      <w:r>
        <w:rPr>
          <w:rFonts w:ascii="Consolas" w:cs="Consolas" w:eastAsia="Consolas" w:hAnsi="Consolas"/>
          <w:b/>
          <w:bCs/>
          <w:color w:val="5B2DFF"/>
          <w:sz w:val="20"/>
          <w:szCs w:val="20"/>
          <w:shd w:fill="F5F5F5" w:val="clear"/>
        </w:rPr>
        <w:t xml:space="preserve"> Stopwords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Custom stopwords to remove from queries before search. Overrides NeuralSeek's default stopword list.</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Use sparingly. The default list is well-tuned for English; overriding it is a power-user lever for highly specialized vocabularies (legal, medical, code) where common words like "and" or "the" carry meaning.</w:t>
      </w:r>
    </w:p>
    <w:p>
      <w:pPr>
        <w:spacing w:after="60" w:before="200"/>
      </w:pPr>
      <w:r>
        <w:rPr>
          <w:rFonts w:ascii="Consolas" w:cs="Consolas" w:eastAsia="Consolas" w:hAnsi="Consolas"/>
          <w:b/>
          <w:bCs/>
          <w:color w:val="5B2DFF"/>
          <w:sz w:val="20"/>
          <w:szCs w:val="20"/>
          <w:shd w:fill="F5F5F5" w:val="clear"/>
        </w:rPr>
        <w:t xml:space="preserve"> HTML Cleansing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Automatically strips HTML markup from scraped pages in supported KBs. The selector array lets you remove specific elements (nav, footer, ads) before content is indexed.</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Without cleansing, scraped pages flood the KB with menu and footer text, which then competes with real content for relevance. Always enable for web-scraped sources; tune the selector list to your sites' templates.</w:t>
      </w:r>
    </w:p>
    <w:p>
      <w:r>
        <w:br w:type="page"/>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2. Corporate Document Filter</w:t>
      </w:r>
    </w:p>
    <w:p>
      <w:pPr>
        <w:spacing w:after="120" w:before="80" w:line="300"/>
      </w:pPr>
      <w:r>
        <w:rPr>
          <w:rFonts w:ascii="Open Sans" w:cs="Open Sans" w:eastAsia="Open Sans" w:hAnsi="Open Sans"/>
          <w:color w:val="0B1220"/>
          <w:sz w:val="22"/>
          <w:szCs w:val="22"/>
        </w:rPr>
        <w:t xml:space="preserve">Connects NeuralSeek to an external entitlement service. Before returning any document, NeuralSeek calls your corporate filter endpoint with the candidate document IDs; only IDs that come back are allowed through.</w:t>
      </w:r>
    </w:p>
    <w:p>
      <w:pPr>
        <w:spacing w:after="80" w:before="200"/>
        <w:jc w:val="center"/>
      </w:pPr>
      <w:r>
        <w:drawing>
          <wp:inline distT="0" distB="0" distL="0" distR="0">
            <wp:extent cx="5143500" cy="647700"/>
            <wp:effectExtent t="0" r="0" b="0" l="0"/>
            <wp:docPr id="1" name="corporate_doc_filter.png" descr="corporate_doc_filter.png" title="corporate_doc_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647700"/>
                    </a:xfrm>
                    <a:prstGeom prst="rect">
                      <a:avLst/>
                    </a:prstGeom>
                  </pic:spPr>
                </pic:pic>
              </a:graphicData>
            </a:graphic>
          </wp:inline>
        </w:drawing>
      </w:r>
    </w:p>
    <w:p>
      <w:pPr>
        <w:spacing w:after="240"/>
        <w:jc w:val="center"/>
      </w:pPr>
      <w:r>
        <w:rPr>
          <w:rFonts w:ascii="Open Sans" w:cs="Open Sans" w:eastAsia="Open Sans" w:hAnsi="Open Sans"/>
          <w:i/>
          <w:iCs/>
          <w:color w:val="7A8194"/>
          <w:sz w:val="18"/>
          <w:szCs w:val="18"/>
        </w:rPr>
        <w:t xml:space="preserve">Figure: Corporate Document Filter panel</w:t>
      </w:r>
    </w:p>
    <w:p>
      <w:pPr>
        <w:spacing w:after="60" w:before="200"/>
      </w:pPr>
      <w:r>
        <w:rPr>
          <w:rFonts w:ascii="Consolas" w:cs="Consolas" w:eastAsia="Consolas" w:hAnsi="Consolas"/>
          <w:b/>
          <w:bCs/>
          <w:color w:val="5B2DFF"/>
          <w:sz w:val="20"/>
          <w:szCs w:val="20"/>
          <w:shd w:fill="F5F5F5" w:val="clear"/>
        </w:rPr>
        <w:t xml:space="preserve"> Enable Corporate Filter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Toggles the external entitlement check on or off. When enabled, you configure the base URL, the username parameter, the document-ID parameter, and the KB metadata field to send.</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Essential for any deployment where document access depends on the requesting user — HR systems, customer-tier knowledge bases, or any KB that mixes public and confidential content. Without it, NeuralSeek treats every connected document as universally readable.</w:t>
      </w:r>
    </w:p>
    <w:p>
      <w:pPr>
        <w:spacing w:after="0" w:before="200"/>
        <w:ind w:left="240"/>
      </w:pPr>
      <w:r>
        <w:rPr>
          <w:rFonts w:ascii="Consolas" w:cs="Consolas" w:eastAsia="Consolas" w:hAnsi="Consolas"/>
          <w:b/>
          <w:bCs/>
          <w:color w:val="15803D"/>
          <w:spacing w:val="80"/>
          <w:sz w:val="16"/>
          <w:szCs w:val="16"/>
        </w:rPr>
        <w:t xml:space="preserve">TIP</w:t>
      </w:r>
    </w:p>
    <w:p>
      <w:pPr>
        <w:pBdr>
          <w:left w:val="single" w:color="15803D" w:sz="18" w:space="12"/>
        </w:pBdr>
        <w:shd w:fill="F5F5F5" w:val="clear"/>
        <w:spacing w:after="200" w:before="40" w:line="290"/>
        <w:ind w:left="240" w:right="120"/>
      </w:pPr>
      <w:r>
        <w:rPr>
          <w:rFonts w:ascii="Open Sans" w:cs="Open Sans" w:eastAsia="Open Sans" w:hAnsi="Open Sans"/>
          <w:color w:val="0B1220"/>
          <w:sz w:val="22"/>
          <w:szCs w:val="22"/>
        </w:rPr>
        <w:t xml:space="preserve">Corporate Filter sits in the critical path of every Seek call. Make sure your endpoint is fast (P99 under 100ms) and highly available, or it will become the bottleneck for the whole platform.</w:t>
      </w:r>
    </w:p>
    <w:p>
      <w:r>
        <w:br w:type="page"/>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3. Corporate Logging</w:t>
      </w:r>
    </w:p>
    <w:p>
      <w:pPr>
        <w:spacing w:after="120" w:before="80" w:line="300"/>
      </w:pPr>
      <w:r>
        <w:rPr>
          <w:rFonts w:ascii="Open Sans" w:cs="Open Sans" w:eastAsia="Open Sans" w:hAnsi="Open Sans"/>
          <w:color w:val="0B1220"/>
          <w:sz w:val="22"/>
          <w:szCs w:val="22"/>
        </w:rPr>
        <w:t xml:space="preserve">Sends every Seek API request and response — and every Curate tab interaction — to a corporate audit endpoint. NeuralSeek can ship to Elasticsearch, OpenSearch, or a mAIstro flow for custom routing.</w:t>
      </w:r>
    </w:p>
    <w:p>
      <w:pPr>
        <w:spacing w:after="80" w:before="200"/>
        <w:jc w:val="center"/>
      </w:pPr>
      <w:r>
        <w:drawing>
          <wp:inline distT="0" distB="0" distL="0" distR="0">
            <wp:extent cx="5143500" cy="904875"/>
            <wp:effectExtent t="0" r="0" b="0" l="0"/>
            <wp:docPr id="1" name="corporate_logging.png" descr="corporate_logging.png" title="corporate_log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904875"/>
                    </a:xfrm>
                    <a:prstGeom prst="rect">
                      <a:avLst/>
                    </a:prstGeom>
                  </pic:spPr>
                </pic:pic>
              </a:graphicData>
            </a:graphic>
          </wp:inline>
        </w:drawing>
      </w:r>
    </w:p>
    <w:p>
      <w:pPr>
        <w:spacing w:after="240"/>
        <w:jc w:val="center"/>
      </w:pPr>
      <w:r>
        <w:rPr>
          <w:rFonts w:ascii="Open Sans" w:cs="Open Sans" w:eastAsia="Open Sans" w:hAnsi="Open Sans"/>
          <w:i/>
          <w:iCs/>
          <w:color w:val="7A8194"/>
          <w:sz w:val="18"/>
          <w:szCs w:val="18"/>
        </w:rPr>
        <w:t xml:space="preserve">Figure: Corporate Logging panel — Logger Type dropdown open</w:t>
      </w:r>
    </w:p>
    <w:p>
      <w:pPr>
        <w:spacing w:after="60" w:before="200"/>
      </w:pPr>
      <w:r>
        <w:rPr>
          <w:rFonts w:ascii="Consolas" w:cs="Consolas" w:eastAsia="Consolas" w:hAnsi="Consolas"/>
          <w:b/>
          <w:bCs/>
          <w:color w:val="5B2DFF"/>
          <w:sz w:val="20"/>
          <w:szCs w:val="20"/>
          <w:shd w:fill="F5F5F5" w:val="clear"/>
        </w:rPr>
        <w:t xml:space="preserve"> Enable Corporate Logging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Master toggle. When enabled, requires a Logger Endpoint and (for Elastic / OpenSearch) an API key.</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Compliance and audit requirements make this non-optional for regulated industries. Even outside compliance contexts, Corporate Logging is the most reliable source of training data for tuning prompts and identifying answer-quality regressions.</w:t>
      </w:r>
    </w:p>
    <w:p>
      <w:pPr>
        <w:spacing w:after="60" w:before="200"/>
      </w:pPr>
      <w:r>
        <w:rPr>
          <w:rFonts w:ascii="Consolas" w:cs="Consolas" w:eastAsia="Consolas" w:hAnsi="Consolas"/>
          <w:b/>
          <w:bCs/>
          <w:color w:val="5B2DFF"/>
          <w:sz w:val="20"/>
          <w:szCs w:val="20"/>
          <w:shd w:fill="F5F5F5" w:val="clear"/>
        </w:rPr>
        <w:t xml:space="preserve"> Logger Type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Selects the destination: ElasticSearch, OpenSearch, or mAIstro. mAIstro lets you pre-process or fan-out logs to multiple sinks via a custom flow.</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ElasticSearch and OpenSearch are the operational choice — both have mature analytics. Pick mAIstro if you need to ship to a non-supported sink (Splunk, Datadog, S3) by scripting the egress.</w:t>
      </w:r>
    </w:p>
    <w:p>
      <w:pPr>
        <w:spacing w:after="60" w:before="200"/>
      </w:pPr>
      <w:r>
        <w:rPr>
          <w:rFonts w:ascii="Consolas" w:cs="Consolas" w:eastAsia="Consolas" w:hAnsi="Consolas"/>
          <w:b/>
          <w:bCs/>
          <w:color w:val="5B2DFF"/>
          <w:sz w:val="20"/>
          <w:szCs w:val="20"/>
          <w:shd w:fill="F5F5F5" w:val="clear"/>
        </w:rPr>
        <w:t xml:space="preserve"> Logger Endpoint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The full URL of the logging destination, including port.</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Use a dedicated index/instance for NeuralSeek logs — they are high-volume and noisy compared to typical application logs, and you don't want them rolling over your application telemetry.</w:t>
      </w:r>
    </w:p>
    <w:p>
      <w:pPr>
        <w:spacing w:after="0" w:before="200"/>
        <w:ind w:left="240"/>
      </w:pPr>
      <w:r>
        <w:rPr>
          <w:rFonts w:ascii="Consolas" w:cs="Consolas" w:eastAsia="Consolas" w:hAnsi="Consolas"/>
          <w:b/>
          <w:bCs/>
          <w:color w:val="2D5BFF"/>
          <w:spacing w:val="80"/>
          <w:sz w:val="16"/>
          <w:szCs w:val="16"/>
        </w:rPr>
        <w:t xml:space="preserve">NOTE</w:t>
      </w:r>
    </w:p>
    <w:p>
      <w:pPr>
        <w:pBdr>
          <w:left w:val="single" w:color="2D5BFF" w:sz="18" w:space="12"/>
        </w:pBdr>
        <w:shd w:fill="F5F5F5" w:val="clear"/>
        <w:spacing w:after="200" w:before="40" w:line="290"/>
        <w:ind w:left="240" w:right="120"/>
      </w:pPr>
      <w:r>
        <w:rPr>
          <w:rFonts w:ascii="Open Sans" w:cs="Open Sans" w:eastAsia="Open Sans" w:hAnsi="Open Sans"/>
          <w:color w:val="0B1220"/>
          <w:sz w:val="22"/>
          <w:szCs w:val="22"/>
        </w:rPr>
        <w:t xml:space="preserve">Prompt Logging (a separate sub-toggle, not shown here) requires explicit NDA agreement before it can be enabled. Full prompts contain LLM provider IP and should be handled accordingly.</w:t>
      </w:r>
    </w:p>
    <w:p>
      <w:r>
        <w:br w:type="page"/>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4. Prompt Engineering</w:t>
      </w:r>
    </w:p>
    <w:p>
      <w:pPr>
        <w:spacing w:after="120" w:before="80" w:line="300"/>
      </w:pPr>
      <w:r>
        <w:rPr>
          <w:rFonts w:ascii="Open Sans" w:cs="Open Sans" w:eastAsia="Open Sans" w:hAnsi="Open Sans"/>
          <w:color w:val="0B1220"/>
          <w:sz w:val="22"/>
          <w:szCs w:val="22"/>
        </w:rPr>
        <w:t xml:space="preserve">Lets expert users inject custom instructions directly into the LLM prompt and tune low-level generation weights. This panel ships with NeuralSeek's strongest warning for a reason.</w:t>
      </w:r>
    </w:p>
    <w:p>
      <w:pPr>
        <w:spacing w:after="80" w:before="200"/>
        <w:jc w:val="center"/>
      </w:pPr>
      <w:r>
        <w:drawing>
          <wp:inline distT="0" distB="0" distL="0" distR="0">
            <wp:extent cx="5143500" cy="2114550"/>
            <wp:effectExtent t="0" r="0" b="0" l="0"/>
            <wp:docPr id="1" name="prompt_engineering.png" descr="prompt_engineering.png" title="prompt_engine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114550"/>
                    </a:xfrm>
                    <a:prstGeom prst="rect">
                      <a:avLst/>
                    </a:prstGeom>
                  </pic:spPr>
                </pic:pic>
              </a:graphicData>
            </a:graphic>
          </wp:inline>
        </w:drawing>
      </w:r>
    </w:p>
    <w:p>
      <w:pPr>
        <w:spacing w:after="240"/>
        <w:jc w:val="center"/>
      </w:pPr>
      <w:r>
        <w:rPr>
          <w:rFonts w:ascii="Open Sans" w:cs="Open Sans" w:eastAsia="Open Sans" w:hAnsi="Open Sans"/>
          <w:i/>
          <w:iCs/>
          <w:color w:val="7A8194"/>
          <w:sz w:val="18"/>
          <w:szCs w:val="18"/>
        </w:rPr>
        <w:t xml:space="preserve">Figure: Prompt Engineering panel — note the support warning at the top</w:t>
      </w:r>
    </w:p>
    <w:p>
      <w:pPr>
        <w:spacing w:after="0" w:before="200"/>
        <w:ind w:left="240"/>
      </w:pPr>
      <w:r>
        <w:rPr>
          <w:rFonts w:ascii="Consolas" w:cs="Consolas" w:eastAsia="Consolas" w:hAnsi="Consolas"/>
          <w:b/>
          <w:bCs/>
          <w:color w:val="991B1B"/>
          <w:spacing w:val="80"/>
          <w:sz w:val="16"/>
          <w:szCs w:val="16"/>
        </w:rPr>
        <w:t xml:space="preserve">WARNING</w:t>
      </w:r>
    </w:p>
    <w:p>
      <w:pPr>
        <w:pBdr>
          <w:left w:val="single" w:color="991B1B" w:sz="18" w:space="12"/>
        </w:pBdr>
        <w:shd w:fill="F5F5F5" w:val="clear"/>
        <w:spacing w:after="200" w:before="40" w:line="290"/>
        <w:ind w:left="240" w:right="120"/>
      </w:pPr>
      <w:r>
        <w:rPr>
          <w:rFonts w:ascii="Open Sans" w:cs="Open Sans" w:eastAsia="Open Sans" w:hAnsi="Open Sans"/>
          <w:color w:val="0B1220"/>
          <w:sz w:val="22"/>
          <w:szCs w:val="22"/>
        </w:rPr>
        <w:t xml:space="preserve">Enabling Prompt Engineering voids NeuralSeek's support guarantees for that instance. Bad answers, wrong languages, or unexpected behavior after enabling are attributed to the custom prompts. Disable before opening a support case.</w:t>
      </w:r>
    </w:p>
    <w:p>
      <w:pPr>
        <w:spacing w:after="60" w:before="200"/>
      </w:pPr>
      <w:r>
        <w:rPr>
          <w:rFonts w:ascii="Consolas" w:cs="Consolas" w:eastAsia="Consolas" w:hAnsi="Consolas"/>
          <w:b/>
          <w:bCs/>
          <w:color w:val="5B2DFF"/>
          <w:sz w:val="20"/>
          <w:szCs w:val="20"/>
          <w:shd w:fill="F5F5F5" w:val="clear"/>
        </w:rPr>
        <w:t xml:space="preserve"> Enable Prompt Engineering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Master toggle that activates custom prompt injection.</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Most production deployments do not need this. NeuralSeek's built-in prompting already handles "be factual," "act as a customer support agent," "answer from sources only," and so on — re-stating those weakens the chain rather than strengthening it.</w:t>
      </w:r>
    </w:p>
    <w:p>
      <w:pPr>
        <w:spacing w:after="60" w:before="200"/>
      </w:pPr>
      <w:r>
        <w:rPr>
          <w:rFonts w:ascii="Consolas" w:cs="Consolas" w:eastAsia="Consolas" w:hAnsi="Consolas"/>
          <w:b/>
          <w:bCs/>
          <w:color w:val="5B2DFF"/>
          <w:sz w:val="20"/>
          <w:szCs w:val="20"/>
          <w:shd w:fill="F5F5F5" w:val="clear"/>
        </w:rPr>
        <w:t xml:space="preserve"> Prompt Instructions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Free-text instructions appended to the LLM prompt at every call. English only.</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Reserve for genuinely novel constraints ("Always cite the document section number" or "Format dates as YYYY-MM-DD") — not for restating safety rails NeuralSeek already enforces. Every additional instruction is more tokens consumed and another rule the model can over-apply.</w:t>
      </w:r>
    </w:p>
    <w:p>
      <w:pPr>
        <w:pStyle w:val="Heading3"/>
        <w:spacing w:after="120" w:before="320"/>
      </w:pPr>
      <w:r>
        <w:rPr>
          <w:rFonts w:ascii="Open Sans" w:cs="Open Sans" w:eastAsia="Open Sans" w:hAnsi="Open Sans"/>
          <w:b/>
          <w:bCs/>
          <w:color w:val="2D5BFF"/>
          <w:sz w:val="26"/>
          <w:szCs w:val="26"/>
        </w:rPr>
        <w:t xml:space="preserve">Seek Weight Tuning</w:t>
      </w:r>
    </w:p>
    <w:p>
      <w:pPr>
        <w:spacing w:after="120" w:before="80" w:line="300"/>
      </w:pPr>
      <w:r>
        <w:rPr>
          <w:rFonts w:ascii="Open Sans" w:cs="Open Sans" w:eastAsia="Open Sans" w:hAnsi="Open Sans"/>
          <w:color w:val="0B1220"/>
          <w:sz w:val="22"/>
          <w:szCs w:val="22"/>
        </w:rPr>
        <w:t xml:space="preserve">These four sliders nudge the global LLM generation parameters relative to NeuralSeek's defaults. The range is -100% to +100%; 0 keeps the default. Per-call overrides on individual mAIstro Send-To-LLM nodes still take precedence.</w:t>
      </w:r>
    </w:p>
    <w:p>
      <w:pPr>
        <w:spacing w:after="60" w:before="200"/>
      </w:pPr>
      <w:r>
        <w:rPr>
          <w:rFonts w:ascii="Consolas" w:cs="Consolas" w:eastAsia="Consolas" w:hAnsi="Consolas"/>
          <w:b/>
          <w:bCs/>
          <w:color w:val="5B2DFF"/>
          <w:sz w:val="20"/>
          <w:szCs w:val="20"/>
          <w:shd w:fill="F5F5F5" w:val="clear"/>
        </w:rPr>
        <w:t xml:space="preserve"> Temperature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Adjusts response randomness relative to the default. Negative = more deterministic, positive = more creative.</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For retrieval-augmented Q&amp;A, push toward -50% to -100%. The model has source documents in front of it; creativity is a liability, not an asset. Default 0 is fine for general use.</w:t>
      </w:r>
    </w:p>
    <w:p>
      <w:pPr>
        <w:spacing w:after="60" w:before="200"/>
      </w:pPr>
      <w:r>
        <w:rPr>
          <w:rFonts w:ascii="Consolas" w:cs="Consolas" w:eastAsia="Consolas" w:hAnsi="Consolas"/>
          <w:b/>
          <w:bCs/>
          <w:color w:val="5B2DFF"/>
          <w:sz w:val="20"/>
          <w:szCs w:val="20"/>
          <w:shd w:fill="F5F5F5" w:val="clear"/>
        </w:rPr>
        <w:t xml:space="preserve"> Top Probability (top-p)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Adjusts the cumulative probability mass of candidate tokens considered at each generation step.</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Top-p and Temperature both control variance — pin one as the primary lever. Reducing top-p tightens vocabulary without flattening the distribution as harshly as temperature 0.</w:t>
      </w:r>
    </w:p>
    <w:p>
      <w:pPr>
        <w:spacing w:after="60" w:before="200"/>
      </w:pPr>
      <w:r>
        <w:rPr>
          <w:rFonts w:ascii="Consolas" w:cs="Consolas" w:eastAsia="Consolas" w:hAnsi="Consolas"/>
          <w:b/>
          <w:bCs/>
          <w:color w:val="5B2DFF"/>
          <w:sz w:val="20"/>
          <w:szCs w:val="20"/>
          <w:shd w:fill="F5F5F5" w:val="clear"/>
        </w:rPr>
        <w:t xml:space="preserve"> Frequency penalty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Penalizes tokens that have already appeared in the response, reducing literal repetition.</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A small positive nudge (10–30%) helps with long-form generation that tends to loop. Too high and answers lose natural cadence; the dial is a polish, not a fix for prompt-design issues.</w:t>
      </w:r>
    </w:p>
    <w:p>
      <w:pPr>
        <w:spacing w:after="60" w:before="200"/>
      </w:pPr>
      <w:r>
        <w:rPr>
          <w:rFonts w:ascii="Consolas" w:cs="Consolas" w:eastAsia="Consolas" w:hAnsi="Consolas"/>
          <w:b/>
          <w:bCs/>
          <w:color w:val="5B2DFF"/>
          <w:sz w:val="20"/>
          <w:szCs w:val="20"/>
          <w:shd w:fill="F5F5F5" w:val="clear"/>
        </w:rPr>
        <w:t xml:space="preserve"> Maximum Tokens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Adjusts the per-answer max-token baseline. The actual cap also scales with the Answer Verbosity slider.</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Push down to control cost and latency on chat surfaces; push up only when you genuinely need long-form output and have measured truncation in production.</w:t>
      </w:r>
    </w:p>
    <w:p>
      <w:r>
        <w:br w:type="page"/>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5. Answer Engineering &amp; Preferences</w:t>
      </w:r>
    </w:p>
    <w:p>
      <w:pPr>
        <w:spacing w:after="120" w:before="80" w:line="300"/>
      </w:pPr>
      <w:r>
        <w:rPr>
          <w:rFonts w:ascii="Open Sans" w:cs="Open Sans" w:eastAsia="Open Sans" w:hAnsi="Open Sans"/>
          <w:color w:val="0B1220"/>
          <w:sz w:val="22"/>
          <w:szCs w:val="22"/>
        </w:rPr>
        <w:t xml:space="preserve">Controls the shape and content rules applied to every generated answer — verbosity, KB grounding, and post-generation regex transformations.</w:t>
      </w:r>
    </w:p>
    <w:p>
      <w:pPr>
        <w:spacing w:after="80" w:before="200"/>
        <w:jc w:val="center"/>
      </w:pPr>
      <w:r>
        <w:drawing>
          <wp:inline distT="0" distB="0" distL="0" distR="0">
            <wp:extent cx="5143500" cy="962025"/>
            <wp:effectExtent t="0" r="0" b="0" l="0"/>
            <wp:docPr id="1" name="answer_engineering.png" descr="answer_engineering.png" title="answer_engine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962025"/>
                    </a:xfrm>
                    <a:prstGeom prst="rect">
                      <a:avLst/>
                    </a:prstGeom>
                  </pic:spPr>
                </pic:pic>
              </a:graphicData>
            </a:graphic>
          </wp:inline>
        </w:drawing>
      </w:r>
    </w:p>
    <w:p>
      <w:pPr>
        <w:spacing w:after="240"/>
        <w:jc w:val="center"/>
      </w:pPr>
      <w:r>
        <w:rPr>
          <w:rFonts w:ascii="Open Sans" w:cs="Open Sans" w:eastAsia="Open Sans" w:hAnsi="Open Sans"/>
          <w:i/>
          <w:iCs/>
          <w:color w:val="7A8194"/>
          <w:sz w:val="18"/>
          <w:szCs w:val="18"/>
        </w:rPr>
        <w:t xml:space="preserve">Figure: Answer Engineering &amp; Preferences panel</w:t>
      </w:r>
    </w:p>
    <w:p>
      <w:pPr>
        <w:spacing w:after="60" w:before="200"/>
      </w:pPr>
      <w:r>
        <w:rPr>
          <w:rFonts w:ascii="Consolas" w:cs="Consolas" w:eastAsia="Consolas" w:hAnsi="Consolas"/>
          <w:b/>
          <w:bCs/>
          <w:color w:val="5B2DFF"/>
          <w:sz w:val="20"/>
          <w:szCs w:val="20"/>
          <w:shd w:fill="F5F5F5" w:val="clear"/>
        </w:rPr>
        <w:t xml:space="preserve"> Answer Verbosity (Very Concise → Very Verbose)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A slider that scales the LLM's target answer length, from terse one-liners to multi-paragraph explanations.</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Match this to your delivery surface. Voice agents need concise; documentation portals can handle verbose. The default sits roughly in the middle and works for chat UIs.</w:t>
      </w:r>
    </w:p>
    <w:p>
      <w:pPr>
        <w:spacing w:after="60" w:before="200"/>
      </w:pPr>
      <w:r>
        <w:rPr>
          <w:rFonts w:ascii="Consolas" w:cs="Consolas" w:eastAsia="Consolas" w:hAnsi="Consolas"/>
          <w:b/>
          <w:bCs/>
          <w:color w:val="5B2DFF"/>
          <w:sz w:val="20"/>
          <w:szCs w:val="20"/>
          <w:shd w:fill="F5F5F5" w:val="clear"/>
        </w:rPr>
        <w:t xml:space="preserve"> Force Answers from the Knowledgebase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True, adds extra prompting to constrain the LLM to source documents. Strongly recommended.</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This is the single biggest hallucination guardrail NeuralSeek offers. Disable only if you specifically need the LLM to interpolate beyond your KB (uncommon and risky).</w:t>
      </w:r>
    </w:p>
    <w:p>
      <w:pPr>
        <w:spacing w:after="60" w:before="200"/>
      </w:pPr>
      <w:r>
        <w:rPr>
          <w:rFonts w:ascii="Consolas" w:cs="Consolas" w:eastAsia="Consolas" w:hAnsi="Consolas"/>
          <w:b/>
          <w:bCs/>
          <w:color w:val="5B2DFF"/>
          <w:sz w:val="20"/>
          <w:szCs w:val="20"/>
          <w:shd w:fill="F5F5F5" w:val="clear"/>
        </w:rPr>
        <w:t xml:space="preserve"> Regular Expressions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Post-generation regex find/replace pairs applied to both KB training data and live answers. Common uses: redacting phone numbers, emails, internal URLs, or normalizing product names.</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Powerful but easy to over-apply. Keep the list short and well-tested — a regex that overmatches will silently corrupt every answer the platform generates.</w:t>
      </w:r>
    </w:p>
    <w:p>
      <w:r>
        <w:br w:type="page"/>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6. Intent Matching &amp; Cache Configuration</w:t>
      </w:r>
    </w:p>
    <w:p>
      <w:pPr>
        <w:spacing w:after="120" w:before="80" w:line="300"/>
      </w:pPr>
      <w:r>
        <w:rPr>
          <w:rFonts w:ascii="Open Sans" w:cs="Open Sans" w:eastAsia="Open Sans" w:hAnsi="Open Sans"/>
          <w:color w:val="0B1220"/>
          <w:sz w:val="22"/>
          <w:szCs w:val="22"/>
        </w:rPr>
        <w:t xml:space="preserve">NeuralSeek groups user inputs into intents (the same question phrased five different ways collapses to one). Cache settings control how aggressively NeuralSeek reuses previously generated answers instead of calling the LLM.</w:t>
      </w:r>
    </w:p>
    <w:p>
      <w:pPr>
        <w:spacing w:after="80" w:before="200"/>
        <w:jc w:val="center"/>
      </w:pPr>
      <w:r>
        <w:drawing>
          <wp:inline distT="0" distB="0" distL="0" distR="0">
            <wp:extent cx="5143500" cy="1819275"/>
            <wp:effectExtent t="0" r="0" b="0" l="0"/>
            <wp:docPr id="1" name="intent_matching.png" descr="intent_matching.png" title="intent_matc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819275"/>
                    </a:xfrm>
                    <a:prstGeom prst="rect">
                      <a:avLst/>
                    </a:prstGeom>
                  </pic:spPr>
                </pic:pic>
              </a:graphicData>
            </a:graphic>
          </wp:inline>
        </w:drawing>
      </w:r>
    </w:p>
    <w:p>
      <w:pPr>
        <w:spacing w:after="240"/>
        <w:jc w:val="center"/>
      </w:pPr>
      <w:r>
        <w:rPr>
          <w:rFonts w:ascii="Open Sans" w:cs="Open Sans" w:eastAsia="Open Sans" w:hAnsi="Open Sans"/>
          <w:i/>
          <w:iCs/>
          <w:color w:val="7A8194"/>
          <w:sz w:val="18"/>
          <w:szCs w:val="18"/>
        </w:rPr>
        <w:t xml:space="preserve">Figure: Intent Matching &amp; Cache Configuration panel</w:t>
      </w:r>
    </w:p>
    <w:p>
      <w:pPr>
        <w:pStyle w:val="Heading3"/>
        <w:spacing w:after="120" w:before="320"/>
      </w:pPr>
      <w:r>
        <w:rPr>
          <w:rFonts w:ascii="Open Sans" w:cs="Open Sans" w:eastAsia="Open Sans" w:hAnsi="Open Sans"/>
          <w:b/>
          <w:bCs/>
          <w:color w:val="2D5BFF"/>
          <w:sz w:val="26"/>
          <w:szCs w:val="26"/>
        </w:rPr>
        <w:t xml:space="preserve">Intent Matching</w:t>
      </w:r>
    </w:p>
    <w:p>
      <w:pPr>
        <w:spacing w:after="60" w:before="200"/>
      </w:pPr>
      <w:r>
        <w:rPr>
          <w:rFonts w:ascii="Consolas" w:cs="Consolas" w:eastAsia="Consolas" w:hAnsi="Consolas"/>
          <w:b/>
          <w:bCs/>
          <w:color w:val="5B2DFF"/>
          <w:sz w:val="20"/>
          <w:szCs w:val="20"/>
          <w:shd w:fill="F5F5F5" w:val="clear"/>
        </w:rPr>
        <w:t xml:space="preserve"> Intent Match Tolerance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How aggressively new inputs are mapped onto existing intents (Exact Match, Vector Similarity, Fuzzy Match, Keyword Match, Fuzzy Keyword Match).</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Looser matching means more cache hits and tighter analytics groupings, but also more risk of routing distinct questions to the same intent. Vector Similarity is the sweet spot for most teams; reserve Exact Match for highly templated traffic.</w:t>
      </w:r>
    </w:p>
    <w:p>
      <w:pPr>
        <w:pStyle w:val="Heading3"/>
        <w:spacing w:after="120" w:before="320"/>
      </w:pPr>
      <w:r>
        <w:rPr>
          <w:rFonts w:ascii="Open Sans" w:cs="Open Sans" w:eastAsia="Open Sans" w:hAnsi="Open Sans"/>
          <w:b/>
          <w:bCs/>
          <w:color w:val="2D5BFF"/>
          <w:sz w:val="26"/>
          <w:szCs w:val="26"/>
        </w:rPr>
        <w:t xml:space="preserve">Cache Configuration</w:t>
      </w:r>
    </w:p>
    <w:p>
      <w:pPr>
        <w:spacing w:after="60" w:before="200"/>
      </w:pPr>
      <w:r>
        <w:rPr>
          <w:rFonts w:ascii="Consolas" w:cs="Consolas" w:eastAsia="Consolas" w:hAnsi="Consolas"/>
          <w:b/>
          <w:bCs/>
          <w:color w:val="5B2DFF"/>
          <w:sz w:val="20"/>
          <w:szCs w:val="20"/>
          <w:shd w:fill="F5F5F5" w:val="clear"/>
        </w:rPr>
        <w:t xml:space="preserve"> Edited answer cache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Threshold for the number of distinct edited (curated) answers that must exist for a question before NeuralSeek serves the curated answer instead of generating a new one.</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Edited answers are gold-standard outputs from your SMEs. Setting this low (1–3) means curation effort pays off immediately; setting it to 0 disables curated caching entirely. Most teams want 1.</w:t>
      </w:r>
    </w:p>
    <w:p>
      <w:pPr>
        <w:spacing w:after="0" w:before="200"/>
        <w:ind w:left="240"/>
      </w:pPr>
      <w:r>
        <w:rPr>
          <w:rFonts w:ascii="Consolas" w:cs="Consolas" w:eastAsia="Consolas" w:hAnsi="Consolas"/>
          <w:b/>
          <w:bCs/>
          <w:color w:val="991B1B"/>
          <w:spacing w:val="80"/>
          <w:sz w:val="16"/>
          <w:szCs w:val="16"/>
        </w:rPr>
        <w:t xml:space="preserve">WARNING</w:t>
      </w:r>
    </w:p>
    <w:p>
      <w:pPr>
        <w:pBdr>
          <w:left w:val="single" w:color="991B1B" w:sz="18" w:space="12"/>
        </w:pBdr>
        <w:shd w:fill="F5F5F5" w:val="clear"/>
        <w:spacing w:after="200" w:before="40" w:line="290"/>
        <w:ind w:left="240" w:right="120"/>
      </w:pPr>
      <w:r>
        <w:rPr>
          <w:rFonts w:ascii="Open Sans" w:cs="Open Sans" w:eastAsia="Open Sans" w:hAnsi="Open Sans"/>
          <w:color w:val="0B1220"/>
          <w:sz w:val="22"/>
          <w:szCs w:val="22"/>
        </w:rPr>
        <w:t xml:space="preserve">Edited answers are retained even when the source documentation changes. Use caution that curated answers do not outlive their accuracy — review the Curate tab on the same cadence as documentation updates.</w:t>
      </w:r>
    </w:p>
    <w:p>
      <w:pPr>
        <w:spacing w:after="60" w:before="200"/>
      </w:pPr>
      <w:r>
        <w:rPr>
          <w:rFonts w:ascii="Consolas" w:cs="Consolas" w:eastAsia="Consolas" w:hAnsi="Consolas"/>
          <w:b/>
          <w:bCs/>
          <w:color w:val="5B2DFF"/>
          <w:sz w:val="20"/>
          <w:szCs w:val="20"/>
          <w:shd w:fill="F5F5F5" w:val="clear"/>
        </w:rPr>
        <w:t xml:space="preserve"> Normal answer cache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Threshold for caching auto-generated answers. After this many distinct generated answers exist for a question, NeuralSeek stops generating and serves the cache.</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Higher values give the LLM more chances to produce a good answer before locking in. Lower values reduce cost faster. A value of 5 (default) is a good balance for typical traffic.</w:t>
      </w:r>
    </w:p>
    <w:p>
      <w:pPr>
        <w:spacing w:after="60" w:before="200"/>
      </w:pPr>
      <w:r>
        <w:rPr>
          <w:rFonts w:ascii="Consolas" w:cs="Consolas" w:eastAsia="Consolas" w:hAnsi="Consolas"/>
          <w:b/>
          <w:bCs/>
          <w:color w:val="5B2DFF"/>
          <w:sz w:val="20"/>
          <w:szCs w:val="20"/>
          <w:shd w:fill="F5F5F5" w:val="clear"/>
        </w:rPr>
        <w:t xml:space="preserve"> Require Cache to Follow Context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Yes, cached answers will only be served if the conversational context matches.</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Critical for stateful chatbots — without this, the same intent in two different conversational contexts ("How do I reset?" after a billing question vs. after a password question) will return the same cached answer.</w:t>
      </w:r>
    </w:p>
    <w:p>
      <w:pPr>
        <w:spacing w:after="60" w:before="200"/>
      </w:pPr>
      <w:r>
        <w:rPr>
          <w:rFonts w:ascii="Consolas" w:cs="Consolas" w:eastAsia="Consolas" w:hAnsi="Consolas"/>
          <w:b/>
          <w:bCs/>
          <w:color w:val="5B2DFF"/>
          <w:sz w:val="20"/>
          <w:szCs w:val="20"/>
          <w:shd w:fill="F5F5F5" w:val="clear"/>
        </w:rPr>
        <w:t xml:space="preserve"> Require Cache to match exact KB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When Yes, cached answers must come from the exact same KnowledgeBase as the live request, not just the same intent.</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Important when the same intent is served from multiple KBs (e.g. by tenant or product line). Without this, a cache hit from Tenant A could serve Tenant B's user.</w:t>
      </w:r>
    </w:p>
    <w:p>
      <w:r>
        <w:br w:type="page"/>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7. Secrets</w:t>
      </w:r>
    </w:p>
    <w:p>
      <w:pPr>
        <w:spacing w:after="120" w:before="80" w:line="300"/>
      </w:pPr>
      <w:r>
        <w:rPr>
          <w:rFonts w:ascii="Open Sans" w:cs="Open Sans" w:eastAsia="Open Sans" w:hAnsi="Open Sans"/>
          <w:color w:val="0B1220"/>
          <w:sz w:val="22"/>
          <w:szCs w:val="22"/>
        </w:rPr>
        <w:t xml:space="preserve">Stores named credential values that mAIstro flows can reference as variables. The flow editor shows the secret name; the actual value is never displayed in the UI after creation.</w:t>
      </w:r>
    </w:p>
    <w:p>
      <w:pPr>
        <w:spacing w:after="80" w:before="200"/>
        <w:jc w:val="center"/>
      </w:pPr>
      <w:r>
        <w:drawing>
          <wp:inline distT="0" distB="0" distL="0" distR="0">
            <wp:extent cx="5143500" cy="752475"/>
            <wp:effectExtent t="0" r="0" b="0" l="0"/>
            <wp:docPr id="1" name="secrets.png" descr="secrets.png" title="secr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752475"/>
                    </a:xfrm>
                    <a:prstGeom prst="rect">
                      <a:avLst/>
                    </a:prstGeom>
                  </pic:spPr>
                </pic:pic>
              </a:graphicData>
            </a:graphic>
          </wp:inline>
        </w:drawing>
      </w:r>
    </w:p>
    <w:p>
      <w:pPr>
        <w:spacing w:after="240"/>
        <w:jc w:val="center"/>
      </w:pPr>
      <w:r>
        <w:rPr>
          <w:rFonts w:ascii="Open Sans" w:cs="Open Sans" w:eastAsia="Open Sans" w:hAnsi="Open Sans"/>
          <w:i/>
          <w:iCs/>
          <w:color w:val="7A8194"/>
          <w:sz w:val="18"/>
          <w:szCs w:val="18"/>
        </w:rPr>
        <w:t xml:space="preserve">Figure: Secrets panel</w:t>
      </w:r>
    </w:p>
    <w:p>
      <w:pPr>
        <w:spacing w:after="60" w:before="200"/>
      </w:pPr>
      <w:r>
        <w:rPr>
          <w:rFonts w:ascii="Consolas" w:cs="Consolas" w:eastAsia="Consolas" w:hAnsi="Consolas"/>
          <w:b/>
          <w:bCs/>
          <w:color w:val="5B2DFF"/>
          <w:sz w:val="20"/>
          <w:szCs w:val="20"/>
          <w:shd w:fill="F5F5F5" w:val="clear"/>
        </w:rPr>
        <w:t xml:space="preserve"> Name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A short, memorable label for the secret. Used as the variable name in mAIstro flows.</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Naming convention matters: prefer descriptive names ("slack_webhook", "snowflake_pw") over generic ones ("token", "key"). When a flow references {{secret.token}} you want it to be obvious which token.</w:t>
      </w:r>
    </w:p>
    <w:p>
      <w:pPr>
        <w:spacing w:after="60" w:before="200"/>
      </w:pPr>
      <w:r>
        <w:rPr>
          <w:rFonts w:ascii="Consolas" w:cs="Consolas" w:eastAsia="Consolas" w:hAnsi="Consolas"/>
          <w:b/>
          <w:bCs/>
          <w:color w:val="5B2DFF"/>
          <w:sz w:val="20"/>
          <w:szCs w:val="20"/>
          <w:shd w:fill="F5F5F5" w:val="clear"/>
        </w:rPr>
        <w:t xml:space="preserve"> Value </w:t>
      </w:r>
    </w:p>
    <w:p>
      <w:pPr>
        <w:spacing w:after="60" w:before="60" w:line="290"/>
      </w:pPr>
      <w:r>
        <w:rPr>
          <w:rFonts w:ascii="Open Sans" w:cs="Open Sans" w:eastAsia="Open Sans" w:hAnsi="Open Sans"/>
          <w:b/>
          <w:bCs/>
          <w:color w:val="0B1220"/>
          <w:sz w:val="22"/>
          <w:szCs w:val="22"/>
        </w:rPr>
        <w:t xml:space="preserve">What it does. </w:t>
      </w:r>
      <w:r>
        <w:rPr>
          <w:rFonts w:ascii="Open Sans" w:cs="Open Sans" w:eastAsia="Open Sans" w:hAnsi="Open Sans"/>
          <w:color w:val="0B1220"/>
          <w:sz w:val="22"/>
          <w:szCs w:val="22"/>
        </w:rPr>
        <w:t xml:space="preserve">The secret material itself — API keys, passwords, webhook URLs, OAuth refresh tokens. Escape any double quotes with a backslash.</w:t>
      </w:r>
    </w:p>
    <w:p>
      <w:pPr>
        <w:pBdr>
          <w:left w:val="single" w:color="1FB6FF" w:sz="18" w:space="12"/>
        </w:pBdr>
        <w:shd w:fill="F5F5F5" w:val="clear"/>
        <w:spacing w:after="160" w:before="40" w:line="290"/>
        <w:ind w:left="240" w:right="120"/>
      </w:pPr>
      <w:r>
        <w:rPr>
          <w:rFonts w:ascii="Open Sans" w:cs="Open Sans" w:eastAsia="Open Sans" w:hAnsi="Open Sans"/>
          <w:b/>
          <w:bCs/>
          <w:color w:val="0B1220"/>
          <w:sz w:val="22"/>
          <w:szCs w:val="22"/>
        </w:rPr>
        <w:t xml:space="preserve">Why it matters. </w:t>
      </w:r>
      <w:r>
        <w:rPr>
          <w:rFonts w:ascii="Open Sans" w:cs="Open Sans" w:eastAsia="Open Sans" w:hAnsi="Open Sans"/>
          <w:color w:val="0B1220"/>
          <w:sz w:val="22"/>
          <w:szCs w:val="22"/>
        </w:rPr>
        <w:t xml:space="preserve">Once saved, the value is hidden from the Configure UI. Treat secrets like production credentials — rotate them on the same schedule as your other secret stores, and audit access via Corporate Logging.</w:t>
      </w:r>
    </w:p>
    <w:p>
      <w:pPr>
        <w:spacing w:after="0" w:before="200"/>
        <w:ind w:left="240"/>
      </w:pPr>
      <w:r>
        <w:rPr>
          <w:rFonts w:ascii="Consolas" w:cs="Consolas" w:eastAsia="Consolas" w:hAnsi="Consolas"/>
          <w:b/>
          <w:bCs/>
          <w:color w:val="15803D"/>
          <w:spacing w:val="80"/>
          <w:sz w:val="16"/>
          <w:szCs w:val="16"/>
        </w:rPr>
        <w:t xml:space="preserve">TIP</w:t>
      </w:r>
    </w:p>
    <w:p>
      <w:pPr>
        <w:pBdr>
          <w:left w:val="single" w:color="15803D" w:sz="18" w:space="12"/>
        </w:pBdr>
        <w:shd w:fill="F5F5F5" w:val="clear"/>
        <w:spacing w:after="200" w:before="40" w:line="290"/>
        <w:ind w:left="240" w:right="120"/>
      </w:pPr>
      <w:r>
        <w:rPr>
          <w:rFonts w:ascii="Open Sans" w:cs="Open Sans" w:eastAsia="Open Sans" w:hAnsi="Open Sans"/>
          <w:color w:val="0B1220"/>
          <w:sz w:val="22"/>
          <w:szCs w:val="22"/>
        </w:rPr>
        <w:t xml:space="preserve">Secrets are the only safe way to use credentials inside mAIstro flows. Hard-coding API keys into a flow node exposes them to anyone with Configure access and to anyone who can export the configuration.</w:t>
      </w:r>
    </w:p>
    <w:p>
      <w:r>
        <w:br w:type="page"/>
      </w:r>
    </w:p>
    <w:p>
      <w:pPr>
        <w:pStyle w:val="Heading2"/>
        <w:pBdr>
          <w:bottom w:val="single" w:color="2D5BFF" w:sz="12" w:space="4"/>
        </w:pBdr>
        <w:spacing w:after="160" w:before="480"/>
      </w:pPr>
      <w:r>
        <w:rPr>
          <w:rFonts w:ascii="Open Sans" w:cs="Open Sans" w:eastAsia="Open Sans" w:hAnsi="Open Sans"/>
          <w:b/>
          <w:bCs/>
          <w:color w:val="0B1220"/>
          <w:sz w:val="36"/>
          <w:szCs w:val="36"/>
        </w:rPr>
        <w:t xml:space="preserve">Operational Best Practices</w:t>
      </w:r>
    </w:p>
    <w:p>
      <w:pPr>
        <w:spacing w:after="120" w:before="80" w:line="300"/>
      </w:pPr>
      <w:r>
        <w:rPr>
          <w:rFonts w:ascii="Open Sans" w:cs="Open Sans" w:eastAsia="Open Sans" w:hAnsi="Open Sans"/>
          <w:color w:val="0B1220"/>
          <w:sz w:val="22"/>
          <w:szCs w:val="22"/>
        </w:rPr>
        <w:t xml:space="preserve">Treat the Configure tab as production infrastructure. The settings here are not "set once and forget" — they are operational levers that should be reviewed, version-controlled, and changed deliberately.</w:t>
      </w:r>
    </w:p>
    <w:p>
      <w:pPr>
        <w:pStyle w:val="ListParagraph"/>
        <w:numPr>
          <w:ilvl w:val="0"/>
          <w:numId w:val="2"/>
        </w:numPr>
        <w:spacing w:after="80" w:before="80" w:line="290"/>
      </w:pPr>
      <w:r>
        <w:rPr>
          <w:rFonts w:ascii="Open Sans" w:cs="Open Sans" w:eastAsia="Open Sans" w:hAnsi="Open Sans"/>
          <w:b/>
          <w:bCs/>
          <w:color w:val="0B1220"/>
          <w:sz w:val="22"/>
          <w:szCs w:val="22"/>
        </w:rPr>
        <w:t xml:space="preserve">Right-size timeouts before going live. </w:t>
      </w:r>
      <w:r>
        <w:rPr>
          <w:rFonts w:ascii="Open Sans" w:cs="Open Sans" w:eastAsia="Open Sans" w:hAnsi="Open Sans"/>
          <w:color w:val="0B1220"/>
          <w:sz w:val="22"/>
          <w:szCs w:val="22"/>
        </w:rPr>
        <w:t xml:space="preserve">Set the Platform Timeout below your upstream chat platform's timeout, and sanity-check Context Timeouts against your authentication model. These are the most common source of "intermittent failures" in week one.</w:t>
      </w:r>
    </w:p>
    <w:p>
      <w:pPr>
        <w:pStyle w:val="ListParagraph"/>
        <w:numPr>
          <w:ilvl w:val="0"/>
          <w:numId w:val="2"/>
        </w:numPr>
        <w:spacing w:after="80" w:before="80" w:line="290"/>
      </w:pPr>
      <w:r>
        <w:rPr>
          <w:rFonts w:ascii="Open Sans" w:cs="Open Sans" w:eastAsia="Open Sans" w:hAnsi="Open Sans"/>
          <w:b/>
          <w:bCs/>
          <w:color w:val="0B1220"/>
          <w:sz w:val="22"/>
          <w:szCs w:val="22"/>
        </w:rPr>
        <w:t xml:space="preserve">Enable Corporate Logging from day one. </w:t>
      </w:r>
      <w:r>
        <w:rPr>
          <w:rFonts w:ascii="Open Sans" w:cs="Open Sans" w:eastAsia="Open Sans" w:hAnsi="Open Sans"/>
          <w:color w:val="0B1220"/>
          <w:sz w:val="22"/>
          <w:szCs w:val="22"/>
        </w:rPr>
        <w:t xml:space="preserve">Without it you have no record of what the platform actually did, and you lose the highest-value training data for tuning. Stand it up before you stand up traffic.</w:t>
      </w:r>
    </w:p>
    <w:p>
      <w:pPr>
        <w:pStyle w:val="ListParagraph"/>
        <w:numPr>
          <w:ilvl w:val="0"/>
          <w:numId w:val="2"/>
        </w:numPr>
        <w:spacing w:after="80" w:before="80" w:line="290"/>
      </w:pPr>
      <w:r>
        <w:rPr>
          <w:rFonts w:ascii="Open Sans" w:cs="Open Sans" w:eastAsia="Open Sans" w:hAnsi="Open Sans"/>
          <w:b/>
          <w:bCs/>
          <w:color w:val="0B1220"/>
          <w:sz w:val="22"/>
          <w:szCs w:val="22"/>
        </w:rPr>
        <w:t xml:space="preserve">Default to Force Answers from KB = True. </w:t>
      </w:r>
      <w:r>
        <w:rPr>
          <w:rFonts w:ascii="Open Sans" w:cs="Open Sans" w:eastAsia="Open Sans" w:hAnsi="Open Sans"/>
          <w:color w:val="0B1220"/>
          <w:sz w:val="22"/>
          <w:szCs w:val="22"/>
        </w:rPr>
        <w:t xml:space="preserve">Combined with sensible Minimum Confidence settings, this is the most effective hallucination guardrail in the platform.</w:t>
      </w:r>
    </w:p>
    <w:p>
      <w:pPr>
        <w:pStyle w:val="ListParagraph"/>
        <w:numPr>
          <w:ilvl w:val="0"/>
          <w:numId w:val="2"/>
        </w:numPr>
        <w:spacing w:after="80" w:before="80" w:line="290"/>
      </w:pPr>
      <w:r>
        <w:rPr>
          <w:rFonts w:ascii="Open Sans" w:cs="Open Sans" w:eastAsia="Open Sans" w:hAnsi="Open Sans"/>
          <w:b/>
          <w:bCs/>
          <w:color w:val="0B1220"/>
          <w:sz w:val="22"/>
          <w:szCs w:val="22"/>
        </w:rPr>
        <w:t xml:space="preserve">Use Secrets for everything credential-shaped. </w:t>
      </w:r>
      <w:r>
        <w:rPr>
          <w:rFonts w:ascii="Open Sans" w:cs="Open Sans" w:eastAsia="Open Sans" w:hAnsi="Open Sans"/>
          <w:color w:val="0B1220"/>
          <w:sz w:val="22"/>
          <w:szCs w:val="22"/>
        </w:rPr>
        <w:t xml:space="preserve">No API keys in flow nodes, ever. Secrets also give you a single place to audit and rotate when a credential is compromised.</w:t>
      </w:r>
    </w:p>
    <w:p>
      <w:pPr>
        <w:pStyle w:val="ListParagraph"/>
        <w:numPr>
          <w:ilvl w:val="0"/>
          <w:numId w:val="2"/>
        </w:numPr>
        <w:spacing w:after="80" w:before="80" w:line="290"/>
      </w:pPr>
      <w:r>
        <w:rPr>
          <w:rFonts w:ascii="Open Sans" w:cs="Open Sans" w:eastAsia="Open Sans" w:hAnsi="Open Sans"/>
          <w:b/>
          <w:bCs/>
          <w:color w:val="0B1220"/>
          <w:sz w:val="22"/>
          <w:szCs w:val="22"/>
        </w:rPr>
        <w:t xml:space="preserve">Be conservative with Prompt Engineering. </w:t>
      </w:r>
      <w:r>
        <w:rPr>
          <w:rFonts w:ascii="Open Sans" w:cs="Open Sans" w:eastAsia="Open Sans" w:hAnsi="Open Sans"/>
          <w:color w:val="0B1220"/>
          <w:sz w:val="22"/>
          <w:szCs w:val="22"/>
        </w:rPr>
        <w:t xml:space="preserve">NeuralSeek's built-in prompting is already extensive. Custom prompt instructions usually create more issues than they solve and forfeit support coverage.</w:t>
      </w:r>
    </w:p>
    <w:p>
      <w:pPr>
        <w:pStyle w:val="ListParagraph"/>
        <w:numPr>
          <w:ilvl w:val="0"/>
          <w:numId w:val="2"/>
        </w:numPr>
        <w:spacing w:after="80" w:before="80" w:line="290"/>
      </w:pPr>
      <w:r>
        <w:rPr>
          <w:rFonts w:ascii="Open Sans" w:cs="Open Sans" w:eastAsia="Open Sans" w:hAnsi="Open Sans"/>
          <w:b/>
          <w:bCs/>
          <w:color w:val="0B1220"/>
          <w:sz w:val="22"/>
          <w:szCs w:val="22"/>
        </w:rPr>
        <w:t xml:space="preserve">Tune cache thresholds with your traffic, not by default. </w:t>
      </w:r>
      <w:r>
        <w:rPr>
          <w:rFonts w:ascii="Open Sans" w:cs="Open Sans" w:eastAsia="Open Sans" w:hAnsi="Open Sans"/>
          <w:color w:val="0B1220"/>
          <w:sz w:val="22"/>
          <w:szCs w:val="22"/>
        </w:rPr>
        <w:t xml:space="preserve">Edited Answer Cache = 1 is right for high-curation teams; higher values are right for teams that prefer the LLM's phrasing. Measure before you change.</w:t>
      </w:r>
    </w:p>
    <w:p>
      <w:pPr>
        <w:pStyle w:val="ListParagraph"/>
        <w:numPr>
          <w:ilvl w:val="0"/>
          <w:numId w:val="2"/>
        </w:numPr>
        <w:spacing w:after="80" w:before="80" w:line="290"/>
      </w:pPr>
      <w:r>
        <w:rPr>
          <w:rFonts w:ascii="Open Sans" w:cs="Open Sans" w:eastAsia="Open Sans" w:hAnsi="Open Sans"/>
          <w:b/>
          <w:bCs/>
          <w:color w:val="0B1220"/>
          <w:sz w:val="22"/>
          <w:szCs w:val="22"/>
        </w:rPr>
        <w:t xml:space="preserve">Pair Cross Language with stricter confidence floors. </w:t>
      </w:r>
      <w:r>
        <w:rPr>
          <w:rFonts w:ascii="Open Sans" w:cs="Open Sans" w:eastAsia="Open Sans" w:hAnsi="Open Sans"/>
          <w:color w:val="0B1220"/>
          <w:sz w:val="22"/>
          <w:szCs w:val="22"/>
        </w:rPr>
        <w:t xml:space="preserve">Disabling Semantic Scoring means you lose a major hallucination check. Compensate with higher Minimum Confidence and explicit fallback templates.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6" w:space="6"/>
      </w:pBdr>
      <w:tabs>
        <w:tab w:val="right" w:pos="9026"/>
      </w:tabs>
    </w:pPr>
    <w:r>
      <w:rPr>
        <w:rFonts w:ascii="Open Sans" w:cs="Open Sans" w:eastAsia="Open Sans" w:hAnsi="Open Sans"/>
        <w:color w:val="7A8194"/>
        <w:sz w:val="16"/>
        <w:szCs w:val="16"/>
      </w:rPr>
      <w:t xml:space="preserve">neuralseek.com</w:t>
    </w:r>
    <w:r>
      <w:rPr>
        <w:rFonts w:ascii="Open Sans" w:cs="Open Sans" w:eastAsia="Open Sans" w:hAnsi="Open Sans"/>
        <w:color w:val="7A8194"/>
        <w:sz w:val="16"/>
        <w:szCs w:val="16"/>
      </w:rPr>
      <w:t xml:space="preserve">	Page </w:t>
    </w:r>
    <w:r>
      <w:rPr>
        <w:rFonts w:ascii="Open Sans" w:cs="Open Sans" w:eastAsia="Open Sans" w:hAnsi="Open Sans"/>
        <w:color w:val="7A8194"/>
        <w:sz w:val="16"/>
        <w:szCs w:val="16"/>
      </w:rPr>
      <w:fldChar w:fldCharType="begin"/>
      <w:instrText xml:space="preserve">PAGE</w:instrText>
      <w:fldChar w:fldCharType="separate"/>
      <w:fldChar w:fldCharType="end"/>
    </w:r>
    <w:r>
      <w:rPr>
        <w:rFonts w:ascii="Open Sans" w:cs="Open Sans" w:eastAsia="Open Sans" w:hAnsi="Open Sans"/>
        <w:color w:val="7A8194"/>
        <w:sz w:val="16"/>
        <w:szCs w:val="16"/>
      </w:rPr>
      <w:t xml:space="preserve"> of </w:t>
    </w:r>
    <w:r>
      <w:rPr>
        <w:rFonts w:ascii="Open Sans" w:cs="Open Sans" w:eastAsia="Open Sans" w:hAnsi="Open Sans"/>
        <w:color w:val="7A81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BFF" w:sz="6" w:space="6"/>
      </w:pBdr>
      <w:tabs>
        <w:tab w:val="right" w:pos="9026"/>
      </w:tabs>
    </w:pPr>
    <w:r>
      <w:rPr>
        <w:rFonts w:ascii="Open Sans" w:cs="Open Sans" w:eastAsia="Open Sans" w:hAnsi="Open Sans"/>
        <w:b/>
        <w:bCs/>
        <w:color w:val="0B1220"/>
        <w:spacing w:val="60"/>
        <w:sz w:val="18"/>
        <w:szCs w:val="18"/>
      </w:rPr>
      <w:t xml:space="preserve">NEURALSEEK</w:t>
    </w:r>
    <w:r>
      <w:rPr>
        <w:rFonts w:ascii="Open Sans" w:cs="Open Sans" w:eastAsia="Open Sans" w:hAnsi="Open Sans"/>
        <w:color w:val="4A5160"/>
        <w:sz w:val="16"/>
        <w:szCs w:val="16"/>
      </w:rPr>
      <w:t xml:space="preserve">	Platform-Level AI Ops Settings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0B1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B1220"/>
      <w:sz w:val="48"/>
      <w:szCs w:val="48"/>
    </w:rPr>
  </w:style>
  <w:style w:type="paragraph" w:styleId="Heading2">
    <w:name w:val="Heading 2"/>
    <w:basedOn w:val="Normal"/>
    <w:next w:val="Normal"/>
    <w:qFormat/>
    <w:pPr>
      <w:spacing w:after="160" w:before="480"/>
      <w:outlineLvl w:val="1"/>
    </w:pPr>
    <w:rPr>
      <w:rFonts w:ascii="Open Sans" w:cs="Open Sans" w:eastAsia="Open Sans" w:hAnsi="Open Sans"/>
      <w:b/>
      <w:bCs/>
      <w:color w:val="0B1220"/>
      <w:sz w:val="36"/>
      <w:szCs w:val="36"/>
    </w:rPr>
  </w:style>
  <w:style w:type="paragraph" w:styleId="Heading3">
    <w:name w:val="Heading 3"/>
    <w:basedOn w:val="Normal"/>
    <w:next w:val="Normal"/>
    <w:qFormat/>
    <w:pPr>
      <w:spacing w:after="120" w:before="320"/>
      <w:outlineLvl w:val="2"/>
    </w:pPr>
    <w:rPr>
      <w:rFonts w:ascii="Open Sans" w:cs="Open Sans" w:eastAsia="Open Sans" w:hAnsi="Open Sans"/>
      <w:b/>
      <w:bCs/>
      <w:color w:val="2D5B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4bf65ce3f636ba2f33e352268b46120794765d.png"/><Relationship Id="rId10" Type="http://schemas.openxmlformats.org/officeDocument/2006/relationships/image" Target="media/b2678be11aae44e7804114c25dd675a14327d272.png"/><Relationship Id="rId11" Type="http://schemas.openxmlformats.org/officeDocument/2006/relationships/image" Target="media/a6143b7abefe3e016b4974f2bddcf7c9c73c2f21.png"/><Relationship Id="rId12" Type="http://schemas.openxmlformats.org/officeDocument/2006/relationships/image" Target="media/379e5a6ca3a982add7b3d49cb2350049304a25a0.png"/><Relationship Id="rId13" Type="http://schemas.openxmlformats.org/officeDocument/2006/relationships/image" Target="media/9718e3c088f8ee727a85c0721650f3cb056643f9.png"/><Relationship Id="rId14" Type="http://schemas.openxmlformats.org/officeDocument/2006/relationships/image" Target="media/dd993a4baef2cb02e0b16bece37d7e67b90ab8c7.png"/><Relationship Id="rId15" Type="http://schemas.openxmlformats.org/officeDocument/2006/relationships/image" Target="media/ff35345decb837abc72b2fb812a49e5fb898df3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Platform-Level AI Ops Settings</dc:title>
  <dc:creator>NeuralSeek</dc:creator>
  <dc:description>Reference for NeuralSeek Configure-tab settings governing platform behavior.</dc:description>
  <cp:lastModifiedBy>Un-named</cp:lastModifiedBy>
  <cp:revision>1</cp:revision>
  <dcterms:created xsi:type="dcterms:W3CDTF">2026-05-10T18:52:08.547Z</dcterms:created>
  <dcterms:modified xsi:type="dcterms:W3CDTF">2026-05-10T18:52:08.548Z</dcterms:modified>
</cp:coreProperties>
</file>

<file path=docProps/custom.xml><?xml version="1.0" encoding="utf-8"?>
<Properties xmlns="http://schemas.openxmlformats.org/officeDocument/2006/custom-properties" xmlns:vt="http://schemas.openxmlformats.org/officeDocument/2006/docPropsVTypes"/>
</file>