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45.png" ContentType="image/png"/>
  <Override PartName="/word/media/rId61.png" ContentType="image/png"/>
  <Override PartName="/word/media/rId32.png" ContentType="image/png"/>
  <Override PartName="/word/media/rId48.png" ContentType="image/png"/>
  <Override PartName="/word/media/rId65.png" ContentType="image/png"/>
  <Override PartName="/word/media/rId70.png" ContentType="image/png"/>
  <Override PartName="/word/media/rId7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Heading2"/>
      </w:pPr>
      <w:bookmarkStart w:id="21" w:name="introduction"/>
      <w:r>
        <w:t xml:space="preserve">Introduction</w:t>
      </w:r>
      <w:bookmarkEnd w:id="21"/>
    </w:p>
    <w:p>
      <w:pPr>
        <w:pStyle w:val="FirstParagraph"/>
      </w:pPr>
      <w:r>
        <w:t xml:space="preserve">The Father of Modern Econometrics, Adam Smith, once frustratingly stated:</w:t>
      </w:r>
    </w:p>
    <w:p>
      <w:pPr>
        <w:pStyle w:val="BlockText"/>
      </w:pPr>
      <w:r>
        <w:t xml:space="preserve">The discipline of colleges and universities is in general contrived, not for the benefit of the students, but for the… ease of the masters.</w:t>
      </w:r>
      <w:r>
        <w:rPr>
          <w:rStyle w:val="FootnoteReference"/>
        </w:rPr>
        <w:footnoteReference w:id="22"/>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possibly not what will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r>
        <w:rPr>
          <w:rStyle w:val="FootnoteReference"/>
        </w:rPr>
        <w:footnoteReference w:id="23"/>
      </w:r>
    </w:p>
    <w:p>
      <w:pPr>
        <w:pStyle w:val="CaptionedFigure"/>
      </w:pPr>
      <w:r>
        <w:drawing>
          <wp:inline>
            <wp:extent cx="5943600" cy="356616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be proud of.</w:t>
      </w:r>
    </w:p>
    <w:p>
      <w:pPr>
        <w:pStyle w:val="Heading2"/>
      </w:pPr>
      <w:bookmarkStart w:id="25" w:name="the-r-ecosystem"/>
      <w:r>
        <w:t xml:space="preserve">The R Ecosystem</w:t>
      </w:r>
      <w:bookmarkEnd w:id="25"/>
    </w:p>
    <w:p>
      <w:pPr>
        <w:pStyle w:val="FirstParagraph"/>
      </w:pPr>
      <w:r>
        <w:t xml:space="preserve">The advantages to using R whether in an academic setting or industry are myriad. Since R and all the tooling we discuss below are open source, they have no financial costs to adoption. In addition, R has a very rich ecosystem of add-on packages that expand R and add functionality. These packages add features ranging from adding ability to connect to commercial database systems to implementation of new machine learning algorithms.</w:t>
      </w:r>
    </w:p>
    <w:p>
      <w:pPr>
        <w:pStyle w:val="Heading3"/>
      </w:pPr>
      <w:bookmarkStart w:id="26" w:name="cran"/>
      <w:r>
        <w:t xml:space="preserve">CRAN</w:t>
      </w:r>
      <w:bookmarkEnd w:id="26"/>
    </w:p>
    <w:p>
      <w:pPr>
        <w:pStyle w:val="FirstParagraph"/>
      </w:pPr>
      <w:r>
        <w:t xml:space="preserve">The online home of R is the Comprehensive R Archive Network, CRAN. CRAN is where a new user can download R and access packages that expand the functionality of R. There are currently more than 10,000 R packages hosted on CRAN for free download.</w:t>
      </w:r>
      <w:r>
        <w:rPr>
          <w:rStyle w:val="FootnoteReference"/>
        </w:rPr>
        <w:footnoteReference w:id="27"/>
      </w:r>
      <w:r>
        <w:t xml:space="preserve"> </w:t>
      </w:r>
      <w:r>
        <w:t xml:space="preserve">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8">
        <w:r>
          <w:rPr>
            <w:rStyle w:val="Hyperlink"/>
          </w:rPr>
          <w:t xml:space="preserve">https://cran.r-project.org/web/views/</w:t>
        </w:r>
      </w:hyperlink>
    </w:p>
    <w:p>
      <w:pPr>
        <w:pStyle w:val="Heading3"/>
      </w:pPr>
      <w:bookmarkStart w:id="29" w:name="rstudio"/>
      <w:r>
        <w:t xml:space="preserve">RStudio</w:t>
      </w:r>
      <w:bookmarkEnd w:id="29"/>
    </w:p>
    <w:p>
      <w:pPr>
        <w:pStyle w:val="FirstParagraph"/>
      </w:pPr>
      <w:r>
        <w:t xml:space="preserve">When R is downloaded from CRAN, it comes with an engine for executing R code along with a few core packages for doing statistical analysis and graphics. Collectively these tools are refered to as</w:t>
      </w:r>
      <w:r>
        <w:t xml:space="preserve"> </w:t>
      </w:r>
      <w:r>
        <w:t xml:space="preserve">“</w:t>
      </w:r>
      <w:r>
        <w:t xml:space="preserve">Base R</w:t>
      </w:r>
      <w:r>
        <w:t xml:space="preserve">”</w:t>
      </w:r>
      <w:r>
        <w:t xml:space="preserve">. Base R comes with a basic text editor for editing and executing R scripts However, most users quickly discover that writing R code is easier with an integrated developemnt environment (IDE). The most popular IDE for R is RStudio Desktop which we highly recommend for teaching.</w:t>
      </w:r>
    </w:p>
    <w:p>
      <w:pPr>
        <w:pStyle w:val="BodyText"/>
      </w:pPr>
      <w:r>
        <w:t xml:space="preserve">RStudio Desktop can be downloaded for free from RStudio.com. In additon to the desktop IDE, RStudio makes a server based IDE for using R on remote machines. RStudio Server is also availiable in a professional version that offers more features such as authentication and collaborative editing. RStudio offers its professional tools to academics for free. Go to</w:t>
      </w:r>
      <w:r>
        <w:t xml:space="preserve"> </w:t>
      </w:r>
      <w:hyperlink r:id="rId30">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31">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32"/>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can’t because of connectivity restrictions, can download and install R and RStudio on local hardware. For details on downloading and installing, see section 1.1 in R Cookbook Second Edition, available online at</w:t>
      </w:r>
      <w:r>
        <w:t xml:space="preserve"> </w:t>
      </w:r>
      <w:hyperlink r:id="rId33">
        <w:r>
          <w:rPr>
            <w:rStyle w:val="Hyperlink"/>
          </w:rPr>
          <w:t xml:space="preserve">https://rc2e.com/gettingstarted#recipe-id001</w:t>
        </w:r>
      </w:hyperlink>
      <w:r>
        <w:t xml:space="preserve">.</w:t>
      </w:r>
    </w:p>
    <w:p>
      <w:pPr>
        <w:pStyle w:val="Heading3"/>
      </w:pPr>
      <w:bookmarkStart w:id="34" w:name="projects"/>
      <w:r>
        <w:t xml:space="preserve">Projects</w:t>
      </w:r>
      <w:bookmarkEnd w:id="34"/>
    </w:p>
    <w:p>
      <w:pPr>
        <w:pStyle w:val="FirstParagraph"/>
      </w:pPr>
      <w:r>
        <w:t xml:space="preserve">RStudio introduces a powerful organizational tool called an RStudio Project. Projects help users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a project is closed and repoened, window contents are preserved.</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organize their files using projects from the start helps them build good practices and prevent lost files and file path related issues that can flummox new learners. Although instructors should expect to teach the basics of absolute and relative file paths, as this concept is sometimes new to learners and can slow learning.</w:t>
      </w:r>
    </w:p>
    <w:p>
      <w:pPr>
        <w:pStyle w:val="Heading3"/>
      </w:pPr>
      <w:bookmarkStart w:id="35" w:name="tidyverse"/>
      <w:r>
        <w:t xml:space="preserve">Tidyverse</w:t>
      </w:r>
      <w:bookmarkEnd w:id="35"/>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rPr>
          <w:rStyle w:val="FootnoteReference"/>
        </w:rPr>
        <w:footnoteReference w:id="36"/>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7">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8" w:name="tidyverse-packages"/>
      <w:r>
        <w:t xml:space="preserve">Tidyverse Packages</w:t>
      </w:r>
      <w:bookmarkEnd w:id="38"/>
    </w:p>
    <w:p>
      <w:pPr>
        <w:pStyle w:val="FirstParagraph"/>
      </w:pPr>
      <w:r>
        <w:t xml:space="preserve">When a user installs the Tidyverse, 19 packages are installed.</w:t>
      </w:r>
      <w:r>
        <w:rPr>
          <w:rStyle w:val="FootnoteReference"/>
        </w:rPr>
        <w:footnoteReference w:id="39"/>
      </w:r>
      <w:r>
        <w:t xml:space="preserve"> </w:t>
      </w:r>
      <w:r>
        <w:t xml:space="preserve">Then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w:t>
      </w:r>
      <w:r>
        <w:t xml:space="preserve"> </w:t>
      </w:r>
      <w:r>
        <w:rPr>
          <w:rStyle w:val="VerbatimChar"/>
        </w:rPr>
        <w:t xml:space="preserve">library(readxl)</w:t>
      </w:r>
      <w:r>
        <w:t xml:space="preserve">) or call the packages using the package name prefix (e.g.</w:t>
      </w:r>
      <w:r>
        <w:t xml:space="preserve">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get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visualization</w:t>
      </w:r>
      <w:r>
        <w:br w:type="textWrapping"/>
      </w:r>
      <w:r>
        <w:rPr>
          <w:rStyle w:val="VerbatimChar"/>
        </w:rPr>
        <w:t xml:space="preserve">dplyr</w:t>
      </w:r>
      <w:r>
        <w:t xml:space="preserve">: data manipulation</w:t>
      </w:r>
      <w:r>
        <w:br w:type="textWrapping"/>
      </w:r>
      <w:r>
        <w:rPr>
          <w:rStyle w:val="VerbatimChar"/>
        </w:rPr>
        <w:t xml:space="preserve">tidyr</w:t>
      </w:r>
      <w:r>
        <w:t xml:space="preserve">: data reshaping</w:t>
      </w:r>
      <w:r>
        <w:br w:type="textWrapping"/>
      </w:r>
      <w:r>
        <w:rPr>
          <w:rStyle w:val="VerbatimChar"/>
        </w:rPr>
        <w:t xml:space="preserve">readr</w:t>
      </w:r>
      <w:r>
        <w:t xml:space="preserve">: data import</w:t>
      </w:r>
      <w:r>
        <w:br w:type="textWrapping"/>
      </w:r>
      <w:r>
        <w:rPr>
          <w:rStyle w:val="VerbatimChar"/>
        </w:rPr>
        <w:t xml:space="preserve">purrr</w:t>
      </w:r>
      <w:r>
        <w:t xml:space="preserve">: functional programming</w:t>
      </w:r>
      <w:r>
        <w:br w:type="textWrapping"/>
      </w:r>
      <w:r>
        <w:rPr>
          <w:rStyle w:val="VerbatimChar"/>
        </w:rPr>
        <w:t xml:space="preserve">tibble</w:t>
      </w:r>
      <w:r>
        <w:t xml:space="preserve">: tidy dataframes</w:t>
      </w:r>
      <w:r>
        <w:br w:type="textWrapping"/>
      </w:r>
      <w:r>
        <w:rPr>
          <w:rStyle w:val="VerbatimChar"/>
        </w:rPr>
        <w:t xml:space="preserve">stringr</w:t>
      </w:r>
      <w:r>
        <w:t xml:space="preserve">: string manipulation</w:t>
      </w:r>
      <w:r>
        <w:br w:type="textWrapping"/>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get installed, but not automatically loaded. These add specialized functions for more specialized uses.</w:t>
      </w:r>
      <w:r>
        <w:rPr>
          <w:rStyle w:val="FootnoteReference"/>
        </w:rPr>
        <w:footnoteReference w:id="40"/>
      </w:r>
    </w:p>
    <w:p>
      <w:pPr>
        <w:pStyle w:val="BodyText"/>
      </w:pPr>
      <w:r>
        <w:rPr>
          <w:i/>
        </w:rPr>
        <w:t xml:space="preserve">Import</w:t>
      </w:r>
    </w:p>
    <w:p>
      <w:pPr>
        <w:pStyle w:val="BodyText"/>
      </w:pPr>
      <w:r>
        <w:rPr>
          <w:rStyle w:val="VerbatimChar"/>
        </w:rPr>
        <w:t xml:space="preserve">readxl</w:t>
      </w:r>
      <w:r>
        <w:t xml:space="preserve">: reading Excel files</w:t>
      </w:r>
      <w:r>
        <w:br w:type="textWrapping"/>
      </w:r>
      <w:r>
        <w:rPr>
          <w:rStyle w:val="VerbatimChar"/>
        </w:rPr>
        <w:t xml:space="preserve">haven</w:t>
      </w:r>
      <w:r>
        <w:t xml:space="preserve">: reading SPSS, Stata, and SAS data</w:t>
      </w:r>
      <w:r>
        <w:br w:type="textWrapping"/>
      </w:r>
      <w:r>
        <w:rPr>
          <w:rStyle w:val="VerbatimChar"/>
        </w:rPr>
        <w:t xml:space="preserve">jsonlite</w:t>
      </w:r>
      <w:r>
        <w:t xml:space="preserve">: manipulating JSON</w:t>
      </w:r>
      <w:r>
        <w:br w:type="textWrapping"/>
      </w:r>
      <w:r>
        <w:rPr>
          <w:rStyle w:val="VerbatimChar"/>
        </w:rPr>
        <w:t xml:space="preserve">xml2</w:t>
      </w:r>
      <w:r>
        <w:t xml:space="preserve">: reading xml</w:t>
      </w:r>
      <w:r>
        <w:br w:type="textWrapping"/>
      </w:r>
      <w:r>
        <w:rPr>
          <w:rStyle w:val="VerbatimChar"/>
        </w:rPr>
        <w:t xml:space="preserve">httr</w:t>
      </w:r>
      <w:r>
        <w:t xml:space="preserve">: accessing web APIs</w:t>
      </w:r>
      <w:r>
        <w:br w:type="textWrapping"/>
      </w:r>
      <w:r>
        <w:rPr>
          <w:rStyle w:val="VerbatimChar"/>
        </w:rPr>
        <w:t xml:space="preserve">rvest</w:t>
      </w:r>
      <w:r>
        <w:t xml:space="preserve">: web scraping</w:t>
      </w:r>
      <w:r>
        <w:br w:type="textWrapping"/>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br w:type="textWrapping"/>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br w:type="textWrapping"/>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41">
        <w:r>
          <w:rPr>
            <w:rStyle w:val="Hyperlink"/>
          </w:rPr>
          <w:t xml:space="preserve">https://tidyverse.tidyverse.org</w:t>
        </w:r>
      </w:hyperlink>
    </w:p>
    <w:p>
      <w:pPr>
        <w:pStyle w:val="Heading2"/>
      </w:pPr>
      <w:bookmarkStart w:id="42" w:name="harnessing-the-power-of-r-tidyverse-and-other-helpful-packages"/>
      <w:r>
        <w:t xml:space="preserve">Harnessing The Power of R, Tidyverse, and other Helpful Packages</w:t>
      </w:r>
      <w:bookmarkEnd w:id="42"/>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intimidating for new users.</w:t>
      </w:r>
    </w:p>
    <w:p>
      <w:pPr>
        <w:pStyle w:val="Heading3"/>
      </w:pPr>
      <w:bookmarkStart w:id="43" w:name="loading-data-gapminder"/>
      <w:r>
        <w:t xml:space="preserve">Loading Data (Gapminder)</w:t>
      </w:r>
      <w:bookmarkEnd w:id="43"/>
    </w:p>
    <w:p>
      <w:pPr>
        <w:pStyle w:val="FirstParagraph"/>
      </w:pPr>
      <w:r>
        <w:t xml:space="preserve">To aide our instructions, we will explore the Gapminder data set. The Gapminder dataset is created by the Gapminder Foundation which is a non-profit which promotes sustainable global development</w:t>
      </w:r>
      <w:r>
        <w:rPr>
          <w:rStyle w:val="FootnoteReference"/>
        </w:rPr>
        <w:footnoteReference w:id="44"/>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type="textWrapping"/>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5729387" cy="3734332"/>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45"/>
                    <a:stretch>
                      <a:fillRect/>
                    </a:stretch>
                  </pic:blipFill>
                  <pic:spPr bwMode="auto">
                    <a:xfrm>
                      <a:off x="0" y="0"/>
                      <a:ext cx="5729387" cy="3734332"/>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46" w:name="initial-data-exploration"/>
      <w:r>
        <w:t xml:space="preserve">Initial Data Exploration</w:t>
      </w:r>
      <w:bookmarkEnd w:id="46"/>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type="textWrapping"/>
      </w:r>
      <w:r>
        <w:rPr>
          <w:rStyle w:val="VerbatimChar"/>
        </w:rPr>
        <w:t xml:space="preserve">##    country     continent  year lifeExp      pop gdpPercap</w:t>
      </w:r>
      <w:r>
        <w:br w:type="textWrapping"/>
      </w:r>
      <w:r>
        <w:rPr>
          <w:rStyle w:val="VerbatimChar"/>
        </w:rPr>
        <w:t xml:space="preserve">##    &lt;chr&gt;       &lt;chr&gt;     &lt;dbl&gt;   &lt;dbl&gt;    &lt;dbl&gt;     &lt;dbl&gt;</w:t>
      </w:r>
      <w:r>
        <w:br w:type="textWrapping"/>
      </w:r>
      <w:r>
        <w:rPr>
          <w:rStyle w:val="VerbatimChar"/>
        </w:rPr>
        <w:t xml:space="preserve">##  1 Afghanistan Asia       1952    28.8  8425333      779.</w:t>
      </w:r>
      <w:r>
        <w:br w:type="textWrapping"/>
      </w:r>
      <w:r>
        <w:rPr>
          <w:rStyle w:val="VerbatimChar"/>
        </w:rPr>
        <w:t xml:space="preserve">##  2 Afghanistan Asia       1957    30.3  9240934      821.</w:t>
      </w:r>
      <w:r>
        <w:br w:type="textWrapping"/>
      </w:r>
      <w:r>
        <w:rPr>
          <w:rStyle w:val="VerbatimChar"/>
        </w:rPr>
        <w:t xml:space="preserve">##  3 Afghanistan Asia       1962    32.0 10267083      853.</w:t>
      </w:r>
      <w:r>
        <w:br w:type="textWrapping"/>
      </w:r>
      <w:r>
        <w:rPr>
          <w:rStyle w:val="VerbatimChar"/>
        </w:rPr>
        <w:t xml:space="preserve">##  4 Afghanistan Asia       1967    34.0 11537966      836.</w:t>
      </w:r>
      <w:r>
        <w:br w:type="textWrapping"/>
      </w:r>
      <w:r>
        <w:rPr>
          <w:rStyle w:val="VerbatimChar"/>
        </w:rPr>
        <w:t xml:space="preserve">##  5 Afghanistan Asia       1972    36.1 13079460      740.</w:t>
      </w:r>
      <w:r>
        <w:br w:type="textWrapping"/>
      </w:r>
      <w:r>
        <w:rPr>
          <w:rStyle w:val="VerbatimChar"/>
        </w:rPr>
        <w:t xml:space="preserve">##  6 Afghanistan Asia       1977    38.4 14880372      786.</w:t>
      </w:r>
      <w:r>
        <w:br w:type="textWrapping"/>
      </w:r>
      <w:r>
        <w:rPr>
          <w:rStyle w:val="VerbatimChar"/>
        </w:rPr>
        <w:t xml:space="preserve">##  7 Afghanistan Asia       1982    39.9 12881816      978.</w:t>
      </w:r>
      <w:r>
        <w:br w:type="textWrapping"/>
      </w:r>
      <w:r>
        <w:rPr>
          <w:rStyle w:val="VerbatimChar"/>
        </w:rPr>
        <w:t xml:space="preserve">##  8 Afghanistan Asia       1987    40.8 13867957      852.</w:t>
      </w:r>
      <w:r>
        <w:br w:type="textWrapping"/>
      </w:r>
      <w:r>
        <w:rPr>
          <w:rStyle w:val="VerbatimChar"/>
        </w:rPr>
        <w:t xml:space="preserve">##  9 Afghanistan Asia       1992    41.7 16317921      649.</w:t>
      </w:r>
      <w:r>
        <w:br w:type="textWrapping"/>
      </w:r>
      <w:r>
        <w:rPr>
          <w:rStyle w:val="VerbatimChar"/>
        </w:rPr>
        <w:t xml:space="preserve">## 10 Afghanistan Asia       1997    41.8 22227415      635.</w:t>
      </w:r>
      <w:r>
        <w:br w:type="textWrapping"/>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provide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rPr>
          <w:rStyle w:val="FootnoteReference"/>
        </w:rPr>
        <w:footnoteReference w:id="47"/>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type="textWrapping"/>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8"/>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separates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9" w:name="dplyr-verbs"/>
      <w:r>
        <w:t xml:space="preserve">dplyr Verbs</w:t>
      </w:r>
      <w:bookmarkEnd w:id="49"/>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aforementioned verbs, we’ll look to answer the following question:</w:t>
      </w:r>
    </w:p>
    <w:p>
      <w:pPr>
        <w:pStyle w:val="BodyText"/>
      </w:pPr>
      <w:r>
        <w:rPr>
          <w:b/>
        </w:rPr>
        <w:t xml:space="preserve">What is the average GDP per country since 1980?</w:t>
      </w:r>
    </w:p>
    <w:p>
      <w:pPr>
        <w:pStyle w:val="Heading4"/>
      </w:pPr>
      <w:bookmarkStart w:id="50" w:name="verb-1-select"/>
      <w:r>
        <w:t xml:space="preserve">Verb 1: select</w:t>
      </w:r>
      <w:bookmarkEnd w:id="50"/>
    </w:p>
    <w:p>
      <w:pPr>
        <w:pStyle w:val="FirstParagraph"/>
      </w:pPr>
      <w:r>
        <w:t xml:space="preserve">To begin, we only need to work with certain columns. The relevant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type="textWrapping"/>
      </w:r>
      <w:r>
        <w:br w:type="textWrapping"/>
      </w:r>
      <w:r>
        <w:rPr>
          <w:rStyle w:val="NormalTok"/>
        </w:rPr>
        <w:t xml:space="preserve">gapminder_selected </w:t>
      </w:r>
    </w:p>
    <w:p>
      <w:pPr>
        <w:pStyle w:val="SourceCode"/>
      </w:pPr>
      <w:r>
        <w:rPr>
          <w:rStyle w:val="VerbatimChar"/>
        </w:rPr>
        <w:t xml:space="preserve">## # A tibble: 1,704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1952  8425333      779.</w:t>
      </w:r>
      <w:r>
        <w:br w:type="textWrapping"/>
      </w:r>
      <w:r>
        <w:rPr>
          <w:rStyle w:val="VerbatimChar"/>
        </w:rPr>
        <w:t xml:space="preserve">##  2 Afghanistan  1957  9240934      821.</w:t>
      </w:r>
      <w:r>
        <w:br w:type="textWrapping"/>
      </w:r>
      <w:r>
        <w:rPr>
          <w:rStyle w:val="VerbatimChar"/>
        </w:rPr>
        <w:t xml:space="preserve">##  3 Afghanistan  1962 10267083      853.</w:t>
      </w:r>
      <w:r>
        <w:br w:type="textWrapping"/>
      </w:r>
      <w:r>
        <w:rPr>
          <w:rStyle w:val="VerbatimChar"/>
        </w:rPr>
        <w:t xml:space="preserve">##  4 Afghanistan  1967 11537966      836.</w:t>
      </w:r>
      <w:r>
        <w:br w:type="textWrapping"/>
      </w:r>
      <w:r>
        <w:rPr>
          <w:rStyle w:val="VerbatimChar"/>
        </w:rPr>
        <w:t xml:space="preserve">##  5 Afghanistan  1972 13079460      740.</w:t>
      </w:r>
      <w:r>
        <w:br w:type="textWrapping"/>
      </w:r>
      <w:r>
        <w:rPr>
          <w:rStyle w:val="VerbatimChar"/>
        </w:rPr>
        <w:t xml:space="preserve">##  6 Afghanistan  1977 14880372      786.</w:t>
      </w:r>
      <w:r>
        <w:br w:type="textWrapping"/>
      </w:r>
      <w:r>
        <w:rPr>
          <w:rStyle w:val="VerbatimChar"/>
        </w:rPr>
        <w:t xml:space="preserve">##  7 Afghanistan  1982 12881816      978.</w:t>
      </w:r>
      <w:r>
        <w:br w:type="textWrapping"/>
      </w:r>
      <w:r>
        <w:rPr>
          <w:rStyle w:val="VerbatimChar"/>
        </w:rPr>
        <w:t xml:space="preserve">##  8 Afghanistan  1987 13867957      852.</w:t>
      </w:r>
      <w:r>
        <w:br w:type="textWrapping"/>
      </w:r>
      <w:r>
        <w:rPr>
          <w:rStyle w:val="VerbatimChar"/>
        </w:rPr>
        <w:t xml:space="preserve">##  9 Afghanistan  1992 16317921      649.</w:t>
      </w:r>
      <w:r>
        <w:br w:type="textWrapping"/>
      </w:r>
      <w:r>
        <w:rPr>
          <w:rStyle w:val="VerbatimChar"/>
        </w:rPr>
        <w:t xml:space="preserve">## 10 Afghanistan  1997 22227415      635.</w:t>
      </w:r>
      <w:r>
        <w:br w:type="textWrapping"/>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51" w:name="verb-2-filter"/>
      <w:r>
        <w:t xml:space="preserve">Verb 2: filter</w:t>
      </w:r>
      <w:bookmarkEnd w:id="51"/>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type="textWrapping"/>
      </w:r>
      <w:r>
        <w:br w:type="textWrapping"/>
      </w:r>
      <w:r>
        <w:rPr>
          <w:rStyle w:val="NormalTok"/>
        </w:rPr>
        <w:t xml:space="preserve">gapminder_filtered</w:t>
      </w:r>
    </w:p>
    <w:p>
      <w:pPr>
        <w:pStyle w:val="SourceCode"/>
      </w:pPr>
      <w:r>
        <w:rPr>
          <w:rStyle w:val="VerbatimChar"/>
        </w:rPr>
        <w:t xml:space="preserve">## # A tibble: 852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1982 12881816      978.</w:t>
      </w:r>
      <w:r>
        <w:br w:type="textWrapping"/>
      </w:r>
      <w:r>
        <w:rPr>
          <w:rStyle w:val="VerbatimChar"/>
        </w:rPr>
        <w:t xml:space="preserve">##  2 Afghanistan  1987 13867957      852.</w:t>
      </w:r>
      <w:r>
        <w:br w:type="textWrapping"/>
      </w:r>
      <w:r>
        <w:rPr>
          <w:rStyle w:val="VerbatimChar"/>
        </w:rPr>
        <w:t xml:space="preserve">##  3 Afghanistan  1992 16317921      649.</w:t>
      </w:r>
      <w:r>
        <w:br w:type="textWrapping"/>
      </w:r>
      <w:r>
        <w:rPr>
          <w:rStyle w:val="VerbatimChar"/>
        </w:rPr>
        <w:t xml:space="preserve">##  4 Afghanistan  1997 22227415      635.</w:t>
      </w:r>
      <w:r>
        <w:br w:type="textWrapping"/>
      </w:r>
      <w:r>
        <w:rPr>
          <w:rStyle w:val="VerbatimChar"/>
        </w:rPr>
        <w:t xml:space="preserve">##  5 Afghanistan  2002 25268405      727.</w:t>
      </w:r>
      <w:r>
        <w:br w:type="textWrapping"/>
      </w:r>
      <w:r>
        <w:rPr>
          <w:rStyle w:val="VerbatimChar"/>
        </w:rPr>
        <w:t xml:space="preserve">##  6 Afghanistan  2007 31889923      975.</w:t>
      </w:r>
      <w:r>
        <w:br w:type="textWrapping"/>
      </w:r>
      <w:r>
        <w:rPr>
          <w:rStyle w:val="VerbatimChar"/>
        </w:rPr>
        <w:t xml:space="preserve">##  7 Albania      1982  2780097     3631.</w:t>
      </w:r>
      <w:r>
        <w:br w:type="textWrapping"/>
      </w:r>
      <w:r>
        <w:rPr>
          <w:rStyle w:val="VerbatimChar"/>
        </w:rPr>
        <w:t xml:space="preserve">##  8 Albania      1987  3075321     3739.</w:t>
      </w:r>
      <w:r>
        <w:br w:type="textWrapping"/>
      </w:r>
      <w:r>
        <w:rPr>
          <w:rStyle w:val="VerbatimChar"/>
        </w:rPr>
        <w:t xml:space="preserve">##  9 Albania      1992  3326498     2497.</w:t>
      </w:r>
      <w:r>
        <w:br w:type="textWrapping"/>
      </w:r>
      <w:r>
        <w:rPr>
          <w:rStyle w:val="VerbatimChar"/>
        </w:rPr>
        <w:t xml:space="preserve">## 10 Albania      1997  3428038     3193.</w:t>
      </w:r>
      <w:r>
        <w:br w:type="textWrapping"/>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52" w:name="verb-3-mutate"/>
      <w:r>
        <w:t xml:space="preserve">Verb 3: mutate</w:t>
      </w:r>
      <w:bookmarkEnd w:id="52"/>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creates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type="textWrapping"/>
      </w:r>
      <w:r>
        <w:br w:type="textWrapping"/>
      </w:r>
      <w:r>
        <w:rPr>
          <w:rStyle w:val="NormalTok"/>
        </w:rPr>
        <w:t xml:space="preserve">gapminder_mutated</w:t>
      </w:r>
    </w:p>
    <w:p>
      <w:pPr>
        <w:pStyle w:val="SourceCode"/>
      </w:pPr>
      <w:r>
        <w:rPr>
          <w:rStyle w:val="VerbatimChar"/>
        </w:rPr>
        <w:t xml:space="preserve">## # A tibble: 852 x 5</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53" w:name="verb-4-group_by"/>
      <w:r>
        <w:t xml:space="preserve">Verb 4: group_by</w:t>
      </w:r>
      <w:bookmarkEnd w:id="53"/>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type="textWrapping"/>
      </w:r>
      <w:r>
        <w:br w:type="textWrapping"/>
      </w:r>
      <w:r>
        <w:rPr>
          <w:rStyle w:val="NormalTok"/>
        </w:rPr>
        <w:t xml:space="preserve">gapminder_grouped</w:t>
      </w:r>
    </w:p>
    <w:p>
      <w:pPr>
        <w:pStyle w:val="SourceCode"/>
      </w:pPr>
      <w:r>
        <w:rPr>
          <w:rStyle w:val="VerbatimChar"/>
        </w:rPr>
        <w:t xml:space="preserve">## # A tibble: 852 x 5</w:t>
      </w:r>
      <w:r>
        <w:br w:type="textWrapping"/>
      </w:r>
      <w:r>
        <w:rPr>
          <w:rStyle w:val="VerbatimChar"/>
        </w:rPr>
        <w:t xml:space="preserve">## # Groups:   country [142]</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The reader will notice that there appears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54" w:name="verb-5-summarise"/>
      <w:r>
        <w:t xml:space="preserve">Verb 5: summarise</w:t>
      </w:r>
      <w:bookmarkEnd w:id="54"/>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type="textWrapping"/>
      </w:r>
      <w:r>
        <w:br w:type="textWrapping"/>
      </w:r>
      <w:r>
        <w:rPr>
          <w:rStyle w:val="NormalTok"/>
        </w:rPr>
        <w:t xml:space="preserve">gapminder_summarised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Afghanistan  16430025591.</w:t>
      </w:r>
      <w:r>
        <w:br w:type="textWrapping"/>
      </w:r>
      <w:r>
        <w:rPr>
          <w:rStyle w:val="VerbatimChar"/>
        </w:rPr>
        <w:t xml:space="preserve">##  2 Albania      13062766192.</w:t>
      </w:r>
      <w:r>
        <w:br w:type="textWrapping"/>
      </w:r>
      <w:r>
        <w:rPr>
          <w:rStyle w:val="VerbatimChar"/>
        </w:rPr>
        <w:t xml:space="preserve">##  3 Algeria     148613140752.</w:t>
      </w:r>
      <w:r>
        <w:br w:type="textWrapping"/>
      </w:r>
      <w:r>
        <w:rPr>
          <w:rStyle w:val="VerbatimChar"/>
        </w:rPr>
        <w:t xml:space="preserve">##  4 Angola       28940373965.</w:t>
      </w:r>
      <w:r>
        <w:br w:type="textWrapping"/>
      </w:r>
      <w:r>
        <w:rPr>
          <w:rStyle w:val="VerbatimChar"/>
        </w:rPr>
        <w:t xml:space="preserve">##  5 Argentina   353071702131.</w:t>
      </w:r>
      <w:r>
        <w:br w:type="textWrapping"/>
      </w:r>
      <w:r>
        <w:rPr>
          <w:rStyle w:val="VerbatimChar"/>
        </w:rPr>
        <w:t xml:space="preserve">##  6 Australia   477639321504.</w:t>
      </w:r>
      <w:r>
        <w:br w:type="textWrapping"/>
      </w:r>
      <w:r>
        <w:rPr>
          <w:rStyle w:val="VerbatimChar"/>
        </w:rPr>
        <w:t xml:space="preserve">##  7 Austria     225388780040.</w:t>
      </w:r>
      <w:r>
        <w:br w:type="textWrapping"/>
      </w:r>
      <w:r>
        <w:rPr>
          <w:rStyle w:val="VerbatimChar"/>
        </w:rPr>
        <w:t xml:space="preserve">##  8 Bahrain      12397050418.</w:t>
      </w:r>
      <w:r>
        <w:br w:type="textWrapping"/>
      </w:r>
      <w:r>
        <w:rPr>
          <w:rStyle w:val="VerbatimChar"/>
        </w:rPr>
        <w:t xml:space="preserve">##  9 Bangladesh  119954904364.</w:t>
      </w:r>
      <w:r>
        <w:br w:type="textWrapping"/>
      </w:r>
      <w:r>
        <w:rPr>
          <w:rStyle w:val="VerbatimChar"/>
        </w:rPr>
        <w:t xml:space="preserve">## 10 Belgium     271944511091.</w:t>
      </w:r>
      <w:r>
        <w:br w:type="textWrapping"/>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55" w:name="verb-6-arrange"/>
      <w:r>
        <w:t xml:space="preserve">Verb 6: arrange</w:t>
      </w:r>
      <w:bookmarkEnd w:id="55"/>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ascending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type="textWrapping"/>
      </w:r>
      <w:r>
        <w:br w:type="textWrapping"/>
      </w:r>
      <w:r>
        <w:rPr>
          <w:rStyle w:val="NormalTok"/>
        </w:rPr>
        <w:t xml:space="preserve">gapminder_arragned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Sao Tome and Principe     213138942.</w:t>
      </w:r>
      <w:r>
        <w:br w:type="textWrapping"/>
      </w:r>
      <w:r>
        <w:rPr>
          <w:rStyle w:val="VerbatimChar"/>
        </w:rPr>
        <w:t xml:space="preserve">##  2 Comoros                   585013190.</w:t>
      </w:r>
      <w:r>
        <w:br w:type="textWrapping"/>
      </w:r>
      <w:r>
        <w:rPr>
          <w:rStyle w:val="VerbatimChar"/>
        </w:rPr>
        <w:t xml:space="preserve">##  3 Guinea-Bissau             788263198.</w:t>
      </w:r>
      <w:r>
        <w:br w:type="textWrapping"/>
      </w:r>
      <w:r>
        <w:rPr>
          <w:rStyle w:val="VerbatimChar"/>
        </w:rPr>
        <w:t xml:space="preserve">##  4 Gambia                    806874307.</w:t>
      </w:r>
      <w:r>
        <w:br w:type="textWrapping"/>
      </w:r>
      <w:r>
        <w:rPr>
          <w:rStyle w:val="VerbatimChar"/>
        </w:rPr>
        <w:t xml:space="preserve">##  5 Djibouti                  894915489.</w:t>
      </w:r>
      <w:r>
        <w:br w:type="textWrapping"/>
      </w:r>
      <w:r>
        <w:rPr>
          <w:rStyle w:val="VerbatimChar"/>
        </w:rPr>
        <w:t xml:space="preserve">##  6 Liberia                  1274437021.</w:t>
      </w:r>
      <w:r>
        <w:br w:type="textWrapping"/>
      </w:r>
      <w:r>
        <w:rPr>
          <w:rStyle w:val="VerbatimChar"/>
        </w:rPr>
        <w:t xml:space="preserve">##  7 Lesotho                  2041066151.</w:t>
      </w:r>
      <w:r>
        <w:br w:type="textWrapping"/>
      </w:r>
      <w:r>
        <w:rPr>
          <w:rStyle w:val="VerbatimChar"/>
        </w:rPr>
        <w:t xml:space="preserve">##  8 Equatorial Guinea        2131596160.</w:t>
      </w:r>
      <w:r>
        <w:br w:type="textWrapping"/>
      </w:r>
      <w:r>
        <w:rPr>
          <w:rStyle w:val="VerbatimChar"/>
        </w:rPr>
        <w:t xml:space="preserve">##  9 Eritrea                  2545841271.</w:t>
      </w:r>
      <w:r>
        <w:br w:type="textWrapping"/>
      </w:r>
      <w:r>
        <w:rPr>
          <w:rStyle w:val="VerbatimChar"/>
        </w:rPr>
        <w:t xml:space="preserve">## 10 Central African Republic 2670573945.</w:t>
      </w:r>
      <w:r>
        <w:br w:type="textWrapping"/>
      </w:r>
      <w:r>
        <w:rPr>
          <w:rStyle w:val="VerbatimChar"/>
        </w:rPr>
        <w:t xml:space="preserve">## # … with 132 more rows</w:t>
      </w:r>
    </w:p>
    <w:p>
      <w:pPr>
        <w:pStyle w:val="FirstParagraph"/>
      </w:pPr>
      <w:r>
        <w:t xml:space="preserve">We see, from the output above, the countries with the smallest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type="textWrapping"/>
      </w:r>
      <w:r>
        <w:br w:type="textWrapping"/>
      </w:r>
      <w:r>
        <w:rPr>
          <w:rStyle w:val="NormalTok"/>
        </w:rPr>
        <w:t xml:space="preserve">gapminder_arragned_descending</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Heading4"/>
      </w:pPr>
      <w:bookmarkStart w:id="56" w:name="simplifying-code-with-the-pipe-operator"/>
      <w:r>
        <w:t xml:space="preserve">Simplifying Code with the Pipe Operator:</w:t>
      </w:r>
      <w:r>
        <w:t xml:space="preserve"> </w:t>
      </w:r>
      <w:r>
        <w:rPr>
          <w:rStyle w:val="VerbatimChar"/>
        </w:rPr>
        <w:t xml:space="preserve">%&gt;%</w:t>
      </w:r>
      <w:bookmarkEnd w:id="56"/>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type="textWrapping"/>
      </w:r>
      <w:r>
        <w:rPr>
          <w:rStyle w:val="StringTok"/>
        </w:rPr>
        <w:t xml:space="preserve">  </w:t>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type="textWrapping"/>
      </w:r>
      <w:r>
        <w:br w:type="textWrapping"/>
      </w:r>
      <w:r>
        <w:rPr>
          <w:rStyle w:val="NormalTok"/>
        </w:rPr>
        <w:t xml:space="preserve">gapminder_arragned_descending_chained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function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57" w:name="plotting-and-exploratory-data-analysis-eda"/>
      <w:r>
        <w:t xml:space="preserve">Plotting and Exploratory Data Analysis (EDA)</w:t>
      </w:r>
      <w:bookmarkEnd w:id="57"/>
    </w:p>
    <w:p>
      <w:pPr>
        <w:pStyle w:val="FirstParagraph"/>
      </w:pPr>
      <w:r>
        <w:t xml:space="preserve">From the preceding example, you can see one way for students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students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8" w:name="esquisse"/>
      <w:r>
        <w:rPr>
          <w:rStyle w:val="VerbatimChar"/>
        </w:rPr>
        <w:t xml:space="preserve">esquisse</w:t>
      </w:r>
      <w:bookmarkEnd w:id="58"/>
    </w:p>
    <w:p>
      <w:pPr>
        <w:pStyle w:val="FirstParagraph"/>
      </w:pPr>
      <w:r>
        <w:t xml:space="preserve">Typically before building any models or doing other analysis, students benefit from learning to do basic exploratory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rPr>
          <w:rStyle w:val="FootnoteReference"/>
        </w:rPr>
        <w:footnoteReference w:id="59"/>
      </w:r>
      <w:r>
        <w:t xml:space="preserve"> </w:t>
      </w:r>
      <w:r>
        <w:rPr>
          <w:rStyle w:val="VerbatimChar"/>
        </w:rPr>
        <w:t xml:space="preserve">esquisse</w:t>
      </w:r>
      <w:r>
        <w:t xml:space="preserve"> </w:t>
      </w:r>
      <w:r>
        <w:t xml:space="preserve">supports only a subset of the myriad of features available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4322618" cy="3887798"/>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60"/>
                    <a:stretch>
                      <a:fillRect/>
                    </a:stretch>
                  </pic:blipFill>
                  <pic:spPr bwMode="auto">
                    <a:xfrm>
                      <a:off x="0" y="0"/>
                      <a:ext cx="4322618" cy="3887798"/>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61"/>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incredible learning boost that reduces the likelihood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62">
        <w:r>
          <w:rPr>
            <w:rStyle w:val="Hyperlink"/>
          </w:rPr>
          <w:t xml:space="preserve">https://cran.r-project.org/web/packages/esquisse/readme/README.html</w:t>
        </w:r>
      </w:hyperlink>
    </w:p>
    <w:p>
      <w:pPr>
        <w:pStyle w:val="Heading4"/>
      </w:pPr>
      <w:bookmarkStart w:id="63" w:name="ggpairs"/>
      <w:r>
        <w:rPr>
          <w:rStyle w:val="VerbatimChar"/>
        </w:rPr>
        <w:t xml:space="preserve">ggpairs</w:t>
      </w:r>
      <w:bookmarkEnd w:id="63"/>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rPr>
          <w:rStyle w:val="FootnoteReference"/>
        </w:rPr>
        <w:footnoteReference w:id="64"/>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type="textWrapping"/>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ggpairs</w:t>
      </w:r>
      <w:r>
        <w:rPr>
          <w:rStyle w:val="NormalTok"/>
        </w:rPr>
        <w:t xml:space="preserve">()</w:t>
      </w:r>
    </w:p>
    <w:p>
      <w:pPr>
        <w:pStyle w:val="CaptionedFigure"/>
      </w:pPr>
      <w:r>
        <w:drawing>
          <wp:inline>
            <wp:extent cx="5943600" cy="475488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provides pairwise plot and correlations between continuous variables and histograms and boxplots between discrete and continuous variables.</w:t>
      </w:r>
    </w:p>
    <w:p>
      <w:pPr>
        <w:pStyle w:val="BodyText"/>
      </w:pPr>
      <w:r>
        <w:t xml:space="preserve">Briefly, we can see that there is an increasing life expectancy and population as year increases as well as several countries that separate themselves from the pack. An easily creatable pairs plot like this can springboard students into further analysis which we’ll highlight below.</w:t>
      </w:r>
    </w:p>
    <w:p>
      <w:pPr>
        <w:pStyle w:val="Heading3"/>
      </w:pPr>
      <w:bookmarkStart w:id="66" w:name="regression"/>
      <w:r>
        <w:t xml:space="preserve">Regression</w:t>
      </w:r>
      <w:bookmarkEnd w:id="66"/>
    </w:p>
    <w:p>
      <w:pPr>
        <w:pStyle w:val="FirstParagraph"/>
      </w:pPr>
      <w:r>
        <w:t xml:space="preserve">One of the more common statistical tools students learn in Econometrics is Linear Regression. It happens to be one of many tools in R’s arsenal.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67" w:name="simple-linear-regression"/>
      <w:r>
        <w:t xml:space="preserve">Simple Linear Regression</w:t>
      </w:r>
      <w:bookmarkEnd w:id="67"/>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-82.75  -7.76   2.18   8.23  18.43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5.40e+01   3.15e-01   171.3   &lt;2e-16 ***</w:t>
      </w:r>
      <w:r>
        <w:br w:type="textWrapping"/>
      </w:r>
      <w:r>
        <w:rPr>
          <w:rStyle w:val="VerbatimChar"/>
        </w:rPr>
        <w:t xml:space="preserve">## gdpPercap   7.65e-04   2.58e-05    29.7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 on 1702 degrees of freedom</w:t>
      </w:r>
      <w:r>
        <w:br w:type="textWrapping"/>
      </w:r>
      <w:r>
        <w:rPr>
          <w:rStyle w:val="VerbatimChar"/>
        </w:rPr>
        <w:t xml:space="preserve">## Multiple R-squared:  0.341,  Adjusted R-squared:  0.34 </w:t>
      </w:r>
      <w:r>
        <w:br w:type="textWrapping"/>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-67.26  -6.95   1.22   7.76  19.55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-4.18e+02   2.76e+01   -15.2   &lt;2e-16 ***</w:t>
      </w:r>
      <w:r>
        <w:br w:type="textWrapping"/>
      </w:r>
      <w:r>
        <w:rPr>
          <w:rStyle w:val="VerbatimChar"/>
        </w:rPr>
        <w:t xml:space="preserve">## gdpPercap    6.70e-04   2.45e-05    27.4   &lt;2e-16 ***</w:t>
      </w:r>
      <w:r>
        <w:br w:type="textWrapping"/>
      </w:r>
      <w:r>
        <w:rPr>
          <w:rStyle w:val="VerbatimChar"/>
        </w:rPr>
        <w:t xml:space="preserve">## year         2.39e-01   1.40e-02    17.1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1701 degrees of freedom</w:t>
      </w:r>
      <w:r>
        <w:br w:type="textWrapping"/>
      </w:r>
      <w:r>
        <w:rPr>
          <w:rStyle w:val="VerbatimChar"/>
        </w:rPr>
        <w:t xml:space="preserve">## Multiple R-squared:  0.437,  Adjusted R-squared:  0.437 </w:t>
      </w:r>
      <w:r>
        <w:br w:type="textWrapping"/>
      </w:r>
      <w:r>
        <w:rPr>
          <w:rStyle w:val="VerbatimChar"/>
        </w:rPr>
        <w:t xml:space="preserve">## F-statistic:  661 on 2 and 1701 DF,  p-value: &lt;2e-16</w:t>
      </w:r>
    </w:p>
    <w:p>
      <w:pPr>
        <w:pStyle w:val="FirstParagraph"/>
      </w:pPr>
      <w:r>
        <w:t xml:space="preserve">Lastly, R’s linear model function is flexible enough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 gdpPercap:year,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-54.23  -7.31   1.00   7.95  19.78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-3.53e+02   3.27e+01  -10.81  &lt; 2e-16 ***</w:t>
      </w:r>
      <w:r>
        <w:br w:type="textWrapping"/>
      </w:r>
      <w:r>
        <w:rPr>
          <w:rStyle w:val="VerbatimChar"/>
        </w:rPr>
        <w:t xml:space="preserve">## gdpPercap      -8.75e-03   2.55e-03   -3.44  0.00060 ***</w:t>
      </w:r>
      <w:r>
        <w:br w:type="textWrapping"/>
      </w:r>
      <w:r>
        <w:rPr>
          <w:rStyle w:val="VerbatimChar"/>
        </w:rPr>
        <w:t xml:space="preserve">## year            2.06e-01   1.65e-02   12.46  &lt; 2e-16 ***</w:t>
      </w:r>
      <w:r>
        <w:br w:type="textWrapping"/>
      </w:r>
      <w:r>
        <w:rPr>
          <w:rStyle w:val="VerbatimChar"/>
        </w:rPr>
        <w:t xml:space="preserve">## gdpPercap:year  4.75e-06   1.28e-06    3.70  0.00022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1700 degrees of freedom</w:t>
      </w:r>
      <w:r>
        <w:br w:type="textWrapping"/>
      </w:r>
      <w:r>
        <w:rPr>
          <w:rStyle w:val="VerbatimChar"/>
        </w:rPr>
        <w:t xml:space="preserve">## Multiple R-squared:  0.442,  Adjusted R-squared:  0.441 </w:t>
      </w:r>
      <w:r>
        <w:br w:type="textWrapping"/>
      </w:r>
      <w:r>
        <w:rPr>
          <w:rStyle w:val="VerbatimChar"/>
        </w:rPr>
        <w:t xml:space="preserve">## F-statistic:  449 on 3 and 1700 DF,  p-value: &lt;2e-16</w:t>
      </w:r>
    </w:p>
    <w:p>
      <w:pPr>
        <w:pStyle w:val="Heading4"/>
      </w:pPr>
      <w:bookmarkStart w:id="68" w:name="linear-regression-modeling-assumptions"/>
      <w:r>
        <w:t xml:space="preserve">Linear Regression Modeling Assumptions</w:t>
      </w:r>
      <w:bookmarkEnd w:id="68"/>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Consistent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rPr>
          <w:rStyle w:val="FootnoteReference"/>
        </w:rPr>
        <w:footnoteReference w:id="69"/>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type="textWrapping"/>
      </w:r>
      <w:r>
        <w:rPr>
          <w:rStyle w:val="NormalTok"/>
        </w:rPr>
        <w:t xml:space="preserve">model2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70"/>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distribution.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71" w:name="transformations-and-residual-revaluation"/>
      <w:r>
        <w:t xml:space="preserve">Transformations and Residual Revaluation</w:t>
      </w:r>
      <w:bookmarkEnd w:id="71"/>
    </w:p>
    <w:p>
      <w:pPr>
        <w:pStyle w:val="FirstParagraph"/>
      </w:pPr>
      <w:r>
        <w:t xml:space="preserve">From our previous critique, and after some instruction on how to interpret the results, students should have all the information available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transformation on the</w:t>
      </w:r>
      <w:r>
        <w:t xml:space="preserve"> </w:t>
      </w:r>
      <w:r>
        <w:rPr>
          <w:i/>
        </w:rPr>
        <w:t xml:space="preserve">y</w:t>
      </w:r>
      <w:r>
        <w:t xml:space="preserve"> </w:t>
      </w:r>
      <w:r>
        <w:t xml:space="preserve">variable is not necessary as we have no issues with constant variance and the Boxcox plot shows no value of lambda maximizes the log-likelihood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(modeladj)</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log(gdpPercap)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-27.229  -3.845   0.607   4.774  17.864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-391.05135   19.41829   -20.1   &lt;2e-16 ***</w:t>
      </w:r>
      <w:r>
        <w:br w:type="textWrapping"/>
      </w:r>
      <w:r>
        <w:rPr>
          <w:rStyle w:val="VerbatimChar"/>
        </w:rPr>
        <w:t xml:space="preserve">## log(gdpPercap)    7.77032    0.13808    56.3   &lt;2e-16 ***</w:t>
      </w:r>
      <w:r>
        <w:br w:type="textWrapping"/>
      </w:r>
      <w:r>
        <w:rPr>
          <w:rStyle w:val="VerbatimChar"/>
        </w:rPr>
        <w:t xml:space="preserve">## year              0.19557    0.00993    19.7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 on 1701 degrees of freedom</w:t>
      </w:r>
      <w:r>
        <w:br w:type="textWrapping"/>
      </w:r>
      <w:r>
        <w:rPr>
          <w:rStyle w:val="VerbatimChar"/>
        </w:rPr>
        <w:t xml:space="preserve">## Multiple R-squared:  0.717,  Adjusted R-squared:  0.717 </w:t>
      </w:r>
      <w:r>
        <w:br w:type="textWrapping"/>
      </w:r>
      <w:r>
        <w:rPr>
          <w:rStyle w:val="VerbatimChar"/>
        </w:rPr>
        <w:t xml:space="preserve">## F-statistic: 2.15e+03 on 2 and 1701 DF,  p-value: &lt;2e-16</w:t>
      </w:r>
    </w:p>
    <w:p>
      <w:pPr>
        <w:pStyle w:val="FirstParagraph"/>
      </w:pPr>
      <w:r>
        <w:t xml:space="preserve">Since our coefficients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73" w:name="conclusion"/>
      <w:r>
        <w:t xml:space="preserve">Conclusion</w:t>
      </w:r>
      <w:bookmarkEnd w:id="73"/>
    </w:p>
    <w:p>
      <w:pPr>
        <w:pStyle w:val="FirstParagraph"/>
      </w:pPr>
      <w:r>
        <w:t xml:space="preserve">R, along with supporting CRAN packages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w:t>
      </w:r>
    </w:p>
    <w:p>
      <w:pPr>
        <w:pStyle w:val="Heading1"/>
      </w:pPr>
      <w:bookmarkStart w:id="74" w:name="bibliography"/>
      <w:r>
        <w:t xml:space="preserve">Bibliography</w:t>
      </w:r>
      <w:bookmarkEnd w:id="74"/>
    </w:p>
    <w:bookmarkStart w:id="96" w:name="refs"/>
    <w:bookmarkStart w:id="76" w:name="ref-stack"/>
    <w:p>
      <w:pPr>
        <w:pStyle w:val="Bibliography"/>
      </w:pPr>
      <w:r>
        <w:t xml:space="preserve">“Browse Queries.”</w:t>
      </w:r>
      <w:r>
        <w:t xml:space="preserve"> </w:t>
      </w:r>
      <w:r>
        <w:rPr>
          <w:i/>
        </w:rPr>
        <w:t xml:space="preserve">Stack Exchange Data Explorer</w:t>
      </w:r>
      <w:r>
        <w:t xml:space="preserve">, n.d.</w:t>
      </w:r>
      <w:r>
        <w:t xml:space="preserve"> </w:t>
      </w:r>
      <w:hyperlink r:id="rId75">
        <w:r>
          <w:rPr>
            <w:rStyle w:val="Hyperlink"/>
          </w:rPr>
          <w:t xml:space="preserve">https://data.stackexchange.com/stackoverflow/</w:t>
        </w:r>
      </w:hyperlink>
      <w:r>
        <w:t xml:space="preserve">.</w:t>
      </w:r>
    </w:p>
    <w:bookmarkEnd w:id="76"/>
    <w:bookmarkStart w:id="78" w:name="ref-gapminder"/>
    <w:p>
      <w:pPr>
        <w:pStyle w:val="Bibliography"/>
      </w:pPr>
      <w:r>
        <w:t xml:space="preserve">“Data.”</w:t>
      </w:r>
      <w:r>
        <w:t xml:space="preserve"> </w:t>
      </w:r>
      <w:r>
        <w:rPr>
          <w:i/>
        </w:rPr>
        <w:t xml:space="preserve">Gapminder</w:t>
      </w:r>
      <w:r>
        <w:t xml:space="preserve">, n.d.</w:t>
      </w:r>
      <w:r>
        <w:t xml:space="preserve"> </w:t>
      </w:r>
      <w:hyperlink r:id="rId77">
        <w:r>
          <w:rPr>
            <w:rStyle w:val="Hyperlink"/>
          </w:rPr>
          <w:t xml:space="preserve">https://www.gapminder.org/data/</w:t>
        </w:r>
      </w:hyperlink>
      <w:r>
        <w:t xml:space="preserve">.</w:t>
      </w:r>
    </w:p>
    <w:bookmarkEnd w:id="78"/>
    <w:bookmarkStart w:id="80" w:name="ref-jdsreference"/>
    <w:p>
      <w:pPr>
        <w:pStyle w:val="Bibliography"/>
      </w:pPr>
      <w:r>
        <w:t xml:space="preserve">“Easily Install and Load the Tidyverse.”</w:t>
      </w:r>
      <w:r>
        <w:t xml:space="preserve"> </w:t>
      </w:r>
      <w:r>
        <w:rPr>
          <w:i/>
        </w:rPr>
        <w:t xml:space="preserve">Easily Install and Load the ’Tidyverse’ • Tidyverse</w:t>
      </w:r>
      <w:r>
        <w:t xml:space="preserve">, n.d.</w:t>
      </w:r>
      <w:r>
        <w:t xml:space="preserve"> </w:t>
      </w:r>
      <w:hyperlink r:id="rId79">
        <w:r>
          <w:rPr>
            <w:rStyle w:val="Hyperlink"/>
          </w:rPr>
          <w:t xml:space="preserve">https://tidyverse.tidyverse.org/</w:t>
        </w:r>
      </w:hyperlink>
      <w:r>
        <w:t xml:space="preserve">.</w:t>
      </w:r>
    </w:p>
    <w:bookmarkEnd w:id="80"/>
    <w:bookmarkStart w:id="82" w:name="ref-lindia"/>
    <w:p>
      <w:pPr>
        <w:pStyle w:val="Bibliography"/>
      </w:pPr>
      <w:r>
        <w:t xml:space="preserve">Lee, Yeuk Yu, and Samuel Ventura.</w:t>
      </w:r>
      <w:r>
        <w:t xml:space="preserve"> </w:t>
      </w:r>
      <w:r>
        <w:rPr>
          <w:i/>
        </w:rPr>
        <w:t xml:space="preserve">Lindia: Automated Linear Regression Diagnostic</w:t>
      </w:r>
      <w:r>
        <w:t xml:space="preserve">, 2017.</w:t>
      </w:r>
      <w:r>
        <w:t xml:space="preserve"> </w:t>
      </w:r>
      <w:hyperlink r:id="rId81">
        <w:r>
          <w:rPr>
            <w:rStyle w:val="Hyperlink"/>
          </w:rPr>
          <w:t xml:space="preserve">https://CRAN.R-project.org/package=lindia</w:t>
        </w:r>
      </w:hyperlink>
      <w:r>
        <w:t xml:space="preserve">.</w:t>
      </w:r>
    </w:p>
    <w:bookmarkEnd w:id="82"/>
    <w:bookmarkStart w:id="84" w:name="ref-esquisse"/>
    <w:p>
      <w:pPr>
        <w:pStyle w:val="Bibliography"/>
      </w:pPr>
      <w:r>
        <w:t xml:space="preserve">Meyer, Fanny, and Victor Perrier.</w:t>
      </w:r>
      <w:r>
        <w:t xml:space="preserve"> </w:t>
      </w:r>
      <w:r>
        <w:rPr>
          <w:i/>
        </w:rPr>
        <w:t xml:space="preserve">Esquisse: Explore and Visualize Your Data Interactively</w:t>
      </w:r>
      <w:r>
        <w:t xml:space="preserve">, 2019.</w:t>
      </w:r>
      <w:r>
        <w:t xml:space="preserve"> </w:t>
      </w:r>
      <w:hyperlink r:id="rId83">
        <w:r>
          <w:rPr>
            <w:rStyle w:val="Hyperlink"/>
          </w:rPr>
          <w:t xml:space="preserve">https://CRAN.R-project.org/package=esquisse</w:t>
        </w:r>
      </w:hyperlink>
      <w:r>
        <w:t xml:space="preserve">.</w:t>
      </w:r>
    </w:p>
    <w:bookmarkEnd w:id="84"/>
    <w:bookmarkStart w:id="86" w:name="ref-skimr"/>
    <w:p>
      <w:pPr>
        <w:pStyle w:val="Bibliography"/>
      </w:pPr>
      <w:r>
        <w:t xml:space="preserve">Quinn, Michael, Amelia McNamara, Eduardo Arino de la Rubia, Hao Zhu, and Shannon Ellis.</w:t>
      </w:r>
      <w:r>
        <w:t xml:space="preserve"> </w:t>
      </w:r>
      <w:r>
        <w:rPr>
          <w:i/>
        </w:rPr>
        <w:t xml:space="preserve">Skimr: Compact and Flexible Summaries of Data</w:t>
      </w:r>
      <w:r>
        <w:t xml:space="preserve">, 2019.</w:t>
      </w:r>
      <w:r>
        <w:t xml:space="preserve"> </w:t>
      </w:r>
      <w:hyperlink r:id="rId85">
        <w:r>
          <w:rPr>
            <w:rStyle w:val="Hyperlink"/>
          </w:rPr>
          <w:t xml:space="preserve">https://CRAN.R-project.org/package=skimr</w:t>
        </w:r>
      </w:hyperlink>
      <w:r>
        <w:t xml:space="preserve">.</w:t>
      </w:r>
    </w:p>
    <w:bookmarkEnd w:id="86"/>
    <w:bookmarkStart w:id="88" w:name="ref-ggally"/>
    <w:p>
      <w:pPr>
        <w:pStyle w:val="Bibliography"/>
      </w:pPr>
      <w:r>
        <w:t xml:space="preserve">Schloerke, Barret, Jason Crowley, Di Cook, Francois Briatte, Moritz Marbach, Edwin Thoen, Amos Elberg, and Joseph Larmarange.</w:t>
      </w:r>
      <w:r>
        <w:t xml:space="preserve"> </w:t>
      </w:r>
      <w:r>
        <w:rPr>
          <w:i/>
        </w:rPr>
        <w:t xml:space="preserve">GGally: Extension to ’Ggplot2’</w:t>
      </w:r>
      <w:r>
        <w:t xml:space="preserve">, 2018.</w:t>
      </w:r>
      <w:r>
        <w:t xml:space="preserve"> </w:t>
      </w:r>
      <w:hyperlink r:id="rId87">
        <w:r>
          <w:rPr>
            <w:rStyle w:val="Hyperlink"/>
          </w:rPr>
          <w:t xml:space="preserve">https://CRAN.R-project.org/package=GGally</w:t>
        </w:r>
      </w:hyperlink>
      <w:r>
        <w:t xml:space="preserve">.</w:t>
      </w:r>
    </w:p>
    <w:bookmarkEnd w:id="88"/>
    <w:bookmarkStart w:id="89" w:name="ref-smith"/>
    <w:p>
      <w:pPr>
        <w:pStyle w:val="Bibliography"/>
      </w:pPr>
      <w:r>
        <w:t xml:space="preserve">Smith, Adam, and Alan B. Krueger. “The Wealth of Nations.” Bantam Classics, 2003.</w:t>
      </w:r>
    </w:p>
    <w:bookmarkEnd w:id="89"/>
    <w:bookmarkStart w:id="91" w:name="ref-cran"/>
    <w:p>
      <w:pPr>
        <w:pStyle w:val="Bibliography"/>
      </w:pPr>
      <w:r>
        <w:t xml:space="preserve">“The Comprehensive R Archive Network.”</w:t>
      </w:r>
      <w:r>
        <w:t xml:space="preserve"> </w:t>
      </w:r>
      <w:r>
        <w:rPr>
          <w:i/>
        </w:rPr>
        <w:t xml:space="preserve">The Comprehensive R Archive Network</w:t>
      </w:r>
      <w:r>
        <w:t xml:space="preserve">, n.d.</w:t>
      </w:r>
      <w:r>
        <w:t xml:space="preserve"> </w:t>
      </w:r>
      <w:hyperlink r:id="rId90">
        <w:r>
          <w:rPr>
            <w:rStyle w:val="Hyperlink"/>
          </w:rPr>
          <w:t xml:space="preserve">https://cran.r-project.org/</w:t>
        </w:r>
      </w:hyperlink>
      <w:r>
        <w:t xml:space="preserve">.</w:t>
      </w:r>
    </w:p>
    <w:bookmarkEnd w:id="91"/>
    <w:bookmarkStart w:id="93" w:name="ref-rstudioblog"/>
    <w:p>
      <w:pPr>
        <w:pStyle w:val="Bibliography"/>
      </w:pPr>
      <w:r>
        <w:t xml:space="preserve">“Tidyverse 1.0.0.”</w:t>
      </w:r>
      <w:r>
        <w:t xml:space="preserve"> </w:t>
      </w:r>
      <w:r>
        <w:rPr>
          <w:i/>
        </w:rPr>
        <w:t xml:space="preserve">RStudio Blog</w:t>
      </w:r>
      <w:r>
        <w:t xml:space="preserve">, n.d.</w:t>
      </w:r>
      <w:r>
        <w:t xml:space="preserve"> </w:t>
      </w:r>
      <w:hyperlink r:id="rId92">
        <w:r>
          <w:rPr>
            <w:rStyle w:val="Hyperlink"/>
          </w:rPr>
          <w:t xml:space="preserve">https://blog.rstudio.com/2016/09/15/tidyverse-1-0-0/</w:t>
        </w:r>
      </w:hyperlink>
      <w:r>
        <w:t xml:space="preserve">.</w:t>
      </w:r>
    </w:p>
    <w:bookmarkEnd w:id="93"/>
    <w:bookmarkStart w:id="95" w:name="ref-dustysreference"/>
    <w:p>
      <w:pPr>
        <w:pStyle w:val="Bibliography"/>
      </w:pPr>
      <w:r>
        <w:t xml:space="preserve">“Tidyverse Packages.”</w:t>
      </w:r>
      <w:r>
        <w:t xml:space="preserve"> </w:t>
      </w:r>
      <w:r>
        <w:rPr>
          <w:i/>
        </w:rPr>
        <w:t xml:space="preserve">Tidyverse</w:t>
      </w:r>
      <w:r>
        <w:t xml:space="preserve">, n.d.</w:t>
      </w:r>
      <w:r>
        <w:t xml:space="preserve"> </w:t>
      </w:r>
      <w:hyperlink r:id="rId94">
        <w:r>
          <w:rPr>
            <w:rStyle w:val="Hyperlink"/>
          </w:rPr>
          <w:t xml:space="preserve">https://www.tidyverse.org/packages/</w:t>
        </w:r>
      </w:hyperlink>
      <w:r>
        <w:t xml:space="preserve">.</w:t>
      </w:r>
    </w:p>
    <w:bookmarkEnd w:id="95"/>
    <w:bookmarkEnd w:id="96"/>
    <w:sectPr w:rsidR="0063133A" w:rsidRPr="00CA599A">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Smith and Krueger, “The Wealth of Nations.”</w:t>
      </w:r>
    </w:p>
  </w:footnote>
  <w:footnote w:id="23">
    <w:p>
      <w:pPr>
        <w:pStyle w:val="FootnoteText"/>
      </w:pPr>
      <w:r>
        <w:rPr>
          <w:rStyle w:val="FootnoteReference"/>
        </w:rPr>
        <w:footnoteRef/>
      </w:r>
      <w:r>
        <w:t xml:space="preserve"> </w:t>
      </w:r>
      <w:r>
        <w:t xml:space="preserve">“Browse Queries.”</w:t>
      </w:r>
    </w:p>
  </w:footnote>
  <w:footnote w:id="27">
    <w:p>
      <w:pPr>
        <w:pStyle w:val="FootnoteText"/>
      </w:pPr>
      <w:r>
        <w:rPr>
          <w:rStyle w:val="FootnoteReference"/>
        </w:rPr>
        <w:footnoteRef/>
      </w:r>
      <w:r>
        <w:t xml:space="preserve"> </w:t>
      </w:r>
      <w:r>
        <w:t xml:space="preserve">“The Comprehensive R Archive Network.”</w:t>
      </w:r>
    </w:p>
  </w:footnote>
  <w:footnote w:id="36">
    <w:p>
      <w:pPr>
        <w:pStyle w:val="FootnoteText"/>
      </w:pPr>
      <w:r>
        <w:rPr>
          <w:rStyle w:val="FootnoteReference"/>
        </w:rPr>
        <w:footnoteRef/>
      </w:r>
      <w:r>
        <w:t xml:space="preserve"> </w:t>
      </w:r>
      <w:r>
        <w:t xml:space="preserve">“Tidyverse 1.0.0.”</w:t>
      </w:r>
    </w:p>
  </w:footnote>
  <w:footnote w:id="39">
    <w:p>
      <w:pPr>
        <w:pStyle w:val="FootnoteText"/>
      </w:pPr>
      <w:r>
        <w:rPr>
          <w:rStyle w:val="FootnoteReference"/>
        </w:rPr>
        <w:footnoteRef/>
      </w:r>
      <w:r>
        <w:t xml:space="preserve"> </w:t>
      </w:r>
      <w:r>
        <w:t xml:space="preserve">“Tidyverse Packages”; “Easily Install and Load the Tidyverse.”</w:t>
      </w:r>
    </w:p>
  </w:footnote>
  <w:footnote w:id="40">
    <w:p>
      <w:pPr>
        <w:pStyle w:val="FootnoteText"/>
      </w:pPr>
      <w:r>
        <w:rPr>
          <w:rStyle w:val="FootnoteReference"/>
        </w:rPr>
        <w:footnoteRef/>
      </w:r>
      <w:r>
        <w:t xml:space="preserve"> </w:t>
      </w:r>
      <w:r>
        <w:t xml:space="preserve">“Tidyverse Packages”; “Easily Install and Load the Tidyverse.”</w:t>
      </w:r>
    </w:p>
  </w:footnote>
  <w:footnote w:id="44">
    <w:p>
      <w:pPr>
        <w:pStyle w:val="FootnoteText"/>
      </w:pPr>
      <w:r>
        <w:rPr>
          <w:rStyle w:val="FootnoteReference"/>
        </w:rPr>
        <w:footnoteRef/>
      </w:r>
      <w:r>
        <w:t xml:space="preserve"> </w:t>
      </w:r>
      <w:r>
        <w:t xml:space="preserve">“Data.”</w:t>
      </w:r>
    </w:p>
  </w:footnote>
  <w:footnote w:id="47">
    <w:p>
      <w:pPr>
        <w:pStyle w:val="FootnoteText"/>
      </w:pPr>
      <w:r>
        <w:rPr>
          <w:rStyle w:val="FootnoteReference"/>
        </w:rPr>
        <w:footnoteRef/>
      </w:r>
      <w:r>
        <w:t xml:space="preserve"> </w:t>
      </w:r>
      <w:r>
        <w:t xml:space="preserve">Quinn et al.,</w:t>
      </w:r>
      <w:r>
        <w:t xml:space="preserve"> </w:t>
      </w:r>
      <w:r>
        <w:rPr>
          <w:i/>
        </w:rPr>
        <w:t xml:space="preserve">Skimr</w:t>
      </w:r>
      <w:r>
        <w:t xml:space="preserve">.</w:t>
      </w:r>
    </w:p>
  </w:footnote>
  <w:footnote w:id="59">
    <w:p>
      <w:pPr>
        <w:pStyle w:val="FootnoteText"/>
      </w:pPr>
      <w:r>
        <w:rPr>
          <w:rStyle w:val="FootnoteReference"/>
        </w:rPr>
        <w:footnoteRef/>
      </w:r>
      <w:r>
        <w:t xml:space="preserve"> </w:t>
      </w:r>
      <w:r>
        <w:t xml:space="preserve">Meyer and Perrier,</w:t>
      </w:r>
      <w:r>
        <w:t xml:space="preserve"> </w:t>
      </w:r>
      <w:r>
        <w:rPr>
          <w:i/>
        </w:rPr>
        <w:t xml:space="preserve">Esquisse</w:t>
      </w:r>
      <w:r>
        <w:t xml:space="preserve">.</w:t>
      </w:r>
    </w:p>
  </w:footnote>
  <w:footnote w:id="64">
    <w:p>
      <w:pPr>
        <w:pStyle w:val="FootnoteText"/>
      </w:pPr>
      <w:r>
        <w:rPr>
          <w:rStyle w:val="FootnoteReference"/>
        </w:rPr>
        <w:footnoteRef/>
      </w:r>
      <w:r>
        <w:t xml:space="preserve"> </w:t>
      </w:r>
      <w:r>
        <w:t xml:space="preserve">Schloerke et al.,</w:t>
      </w:r>
      <w:r>
        <w:t xml:space="preserve"> </w:t>
      </w:r>
      <w:r>
        <w:rPr>
          <w:i/>
        </w:rPr>
        <w:t xml:space="preserve">GGally</w:t>
      </w:r>
      <w:r>
        <w:t xml:space="preserve">.</w:t>
      </w:r>
    </w:p>
  </w:footnote>
  <w:footnote w:id="69">
    <w:p>
      <w:pPr>
        <w:pStyle w:val="FootnoteText"/>
      </w:pPr>
      <w:r>
        <w:rPr>
          <w:rStyle w:val="FootnoteReference"/>
        </w:rPr>
        <w:footnoteRef/>
      </w:r>
      <w:r>
        <w:t xml:space="preserve"> </w:t>
      </w:r>
      <w:r>
        <w:t xml:space="preserve">Lee and Ventura,</w:t>
      </w:r>
      <w:r>
        <w:t xml:space="preserve"> </w:t>
      </w:r>
      <w:r>
        <w:rPr>
          <w:i/>
        </w:rPr>
        <w:t xml:space="preserve">Lindia</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5C638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F2068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0C681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A1240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5DCEFD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467A1A4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DB28C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17C6B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7C291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EF48FB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0"/>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46003"/>
    <w:rPr>
      <w:rFonts w:ascii="Courier New" w:hAnsi="Courier New"/>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46003"/>
    <w:pPr>
      <w:shd w:val="clear" w:color="auto" w:fill="F8F8F8"/>
      <w:wordWrap w:val="0"/>
    </w:pPr>
    <w:rPr>
      <w:rFonts w:ascii="Courier New" w:hAnsi="Courier New"/>
      <w:sz w:val="20"/>
    </w:rPr>
  </w:style>
  <w:style w:type="character" w:customStyle="1" w:styleId="KeywordTok">
    <w:name w:val="KeywordTok"/>
    <w:basedOn w:val="VerbatimChar"/>
    <w:rsid w:val="00346003"/>
    <w:rPr>
      <w:rFonts w:ascii="Courier New" w:hAnsi="Courier New"/>
      <w:b/>
      <w:color w:val="204A87"/>
      <w:sz w:val="20"/>
      <w:shd w:val="clear" w:color="auto" w:fill="F8F8F8"/>
    </w:rPr>
  </w:style>
  <w:style w:type="character" w:customStyle="1" w:styleId="DataTypeTok">
    <w:name w:val="DataTypeTok"/>
    <w:basedOn w:val="VerbatimChar"/>
    <w:rsid w:val="00335B96"/>
    <w:rPr>
      <w:rFonts w:ascii="Courier New" w:hAnsi="Courier New"/>
      <w:color w:val="204A87"/>
      <w:sz w:val="20"/>
      <w:shd w:val="clear" w:color="auto" w:fill="F8F8F8"/>
    </w:rPr>
  </w:style>
  <w:style w:type="character" w:customStyle="1" w:styleId="DecValTok">
    <w:name w:val="DecValTok"/>
    <w:basedOn w:val="VerbatimChar"/>
    <w:rsid w:val="00346003"/>
    <w:rPr>
      <w:rFonts w:ascii="Courier New" w:hAnsi="Courier New"/>
      <w:color w:val="0000CF"/>
      <w:sz w:val="20"/>
      <w:shd w:val="clear" w:color="auto" w:fill="F8F8F8"/>
    </w:rPr>
  </w:style>
  <w:style w:type="character" w:customStyle="1" w:styleId="BaseNTok">
    <w:name w:val="BaseNTok"/>
    <w:basedOn w:val="VerbatimChar"/>
    <w:rPr>
      <w:rFonts w:ascii="Courier New" w:hAnsi="Courier New"/>
      <w:color w:val="0000CF"/>
      <w:sz w:val="18"/>
      <w:shd w:val="clear" w:color="auto" w:fill="F8F8F8"/>
    </w:rPr>
  </w:style>
  <w:style w:type="character" w:customStyle="1" w:styleId="FloatTok">
    <w:name w:val="FloatTok"/>
    <w:basedOn w:val="VerbatimChar"/>
    <w:rPr>
      <w:rFonts w:ascii="Courier New" w:hAnsi="Courier New"/>
      <w:color w:val="0000CF"/>
      <w:sz w:val="18"/>
      <w:shd w:val="clear" w:color="auto" w:fill="F8F8F8"/>
    </w:rPr>
  </w:style>
  <w:style w:type="character" w:customStyle="1" w:styleId="ConstantTok">
    <w:name w:val="ConstantTok"/>
    <w:basedOn w:val="VerbatimChar"/>
    <w:rPr>
      <w:rFonts w:ascii="Courier New" w:hAnsi="Courier New"/>
      <w:color w:val="000000"/>
      <w:sz w:val="18"/>
      <w:shd w:val="clear" w:color="auto" w:fill="F8F8F8"/>
    </w:rPr>
  </w:style>
  <w:style w:type="character" w:customStyle="1" w:styleId="CharTok">
    <w:name w:val="CharTok"/>
    <w:basedOn w:val="VerbatimChar"/>
    <w:rPr>
      <w:rFonts w:ascii="Courier New" w:hAnsi="Courier New"/>
      <w:color w:val="4E9A06"/>
      <w:sz w:val="18"/>
      <w:shd w:val="clear" w:color="auto" w:fill="F8F8F8"/>
    </w:rPr>
  </w:style>
  <w:style w:type="character" w:customStyle="1" w:styleId="SpecialCharTok">
    <w:name w:val="SpecialCharTok"/>
    <w:basedOn w:val="VerbatimChar"/>
    <w:rPr>
      <w:rFonts w:ascii="Courier New" w:hAnsi="Courier New"/>
      <w:color w:val="000000"/>
      <w:sz w:val="18"/>
      <w:shd w:val="clear" w:color="auto" w:fill="F8F8F8"/>
    </w:rPr>
  </w:style>
  <w:style w:type="character" w:customStyle="1" w:styleId="StringTok">
    <w:name w:val="StringTok"/>
    <w:basedOn w:val="VerbatimChar"/>
    <w:rsid w:val="00024782"/>
    <w:rPr>
      <w:rFonts w:ascii="Courier New" w:hAnsi="Courier New"/>
      <w:color w:val="4E9A06"/>
      <w:sz w:val="20"/>
      <w:shd w:val="clear" w:color="auto" w:fill="F8F8F8"/>
    </w:rPr>
  </w:style>
  <w:style w:type="character" w:customStyle="1" w:styleId="VerbatimStringTok">
    <w:name w:val="VerbatimStringTok"/>
    <w:basedOn w:val="VerbatimChar"/>
    <w:rPr>
      <w:rFonts w:ascii="Courier New" w:hAnsi="Courier New"/>
      <w:color w:val="4E9A06"/>
      <w:sz w:val="18"/>
      <w:shd w:val="clear" w:color="auto" w:fill="F8F8F8"/>
    </w:rPr>
  </w:style>
  <w:style w:type="character" w:customStyle="1" w:styleId="SpecialStringTok">
    <w:name w:val="SpecialStringTok"/>
    <w:basedOn w:val="VerbatimChar"/>
    <w:rPr>
      <w:rFonts w:ascii="Courier New" w:hAnsi="Courier New"/>
      <w:color w:val="4E9A06"/>
      <w:sz w:val="18"/>
      <w:shd w:val="clear" w:color="auto" w:fill="F8F8F8"/>
    </w:rPr>
  </w:style>
  <w:style w:type="character" w:customStyle="1" w:styleId="ImportTok">
    <w:name w:val="ImportTok"/>
    <w:basedOn w:val="VerbatimChar"/>
    <w:rPr>
      <w:rFonts w:ascii="Courier New" w:hAnsi="Courier New"/>
      <w:sz w:val="18"/>
      <w:shd w:val="clear" w:color="auto" w:fill="F8F8F8"/>
    </w:rPr>
  </w:style>
  <w:style w:type="character" w:customStyle="1" w:styleId="CommentTok">
    <w:name w:val="CommentTok"/>
    <w:basedOn w:val="VerbatimChar"/>
    <w:rPr>
      <w:rFonts w:ascii="Courier New" w:hAnsi="Courier New"/>
      <w:i/>
      <w:color w:val="8F5902"/>
      <w:sz w:val="18"/>
      <w:shd w:val="clear" w:color="auto" w:fill="F8F8F8"/>
    </w:rPr>
  </w:style>
  <w:style w:type="character" w:customStyle="1" w:styleId="DocumentationTok">
    <w:name w:val="DocumentationTok"/>
    <w:basedOn w:val="VerbatimChar"/>
    <w:rPr>
      <w:rFonts w:ascii="Courier New" w:hAnsi="Courier New"/>
      <w:b/>
      <w:i/>
      <w:color w:val="8F5902"/>
      <w:sz w:val="18"/>
      <w:shd w:val="clear" w:color="auto" w:fill="F8F8F8"/>
    </w:rPr>
  </w:style>
  <w:style w:type="character" w:customStyle="1" w:styleId="AnnotationTok">
    <w:name w:val="AnnotationTok"/>
    <w:basedOn w:val="VerbatimChar"/>
    <w:rPr>
      <w:rFonts w:ascii="Courier New" w:hAnsi="Courier New"/>
      <w:b/>
      <w:i/>
      <w:color w:val="8F5902"/>
      <w:sz w:val="18"/>
      <w:shd w:val="clear" w:color="auto" w:fill="F8F8F8"/>
    </w:rPr>
  </w:style>
  <w:style w:type="character" w:customStyle="1" w:styleId="CommentVarTok">
    <w:name w:val="CommentVarTok"/>
    <w:basedOn w:val="VerbatimChar"/>
    <w:rPr>
      <w:rFonts w:ascii="Courier New" w:hAnsi="Courier New"/>
      <w:b/>
      <w:i/>
      <w:color w:val="8F5902"/>
      <w:sz w:val="18"/>
      <w:shd w:val="clear" w:color="auto" w:fill="F8F8F8"/>
    </w:rPr>
  </w:style>
  <w:style w:type="character" w:customStyle="1" w:styleId="OtherTok">
    <w:name w:val="OtherTok"/>
    <w:basedOn w:val="VerbatimChar"/>
    <w:rPr>
      <w:rFonts w:ascii="Courier New" w:hAnsi="Courier New"/>
      <w:color w:val="8F5902"/>
      <w:sz w:val="18"/>
      <w:shd w:val="clear" w:color="auto" w:fill="F8F8F8"/>
    </w:rPr>
  </w:style>
  <w:style w:type="character" w:customStyle="1" w:styleId="FunctionTok">
    <w:name w:val="FunctionTok"/>
    <w:basedOn w:val="VerbatimChar"/>
    <w:rPr>
      <w:rFonts w:ascii="Courier New" w:hAnsi="Courier New"/>
      <w:color w:val="000000"/>
      <w:sz w:val="18"/>
      <w:shd w:val="clear" w:color="auto" w:fill="F8F8F8"/>
    </w:rPr>
  </w:style>
  <w:style w:type="character" w:customStyle="1" w:styleId="VariableTok">
    <w:name w:val="VariableTok"/>
    <w:basedOn w:val="VerbatimChar"/>
    <w:rPr>
      <w:rFonts w:ascii="Courier New" w:hAnsi="Courier New"/>
      <w:color w:val="000000"/>
      <w:sz w:val="18"/>
      <w:shd w:val="clear" w:color="auto" w:fill="F8F8F8"/>
    </w:rPr>
  </w:style>
  <w:style w:type="character" w:customStyle="1" w:styleId="ControlFlowTok">
    <w:name w:val="ControlFlowTok"/>
    <w:basedOn w:val="VerbatimChar"/>
    <w:rPr>
      <w:rFonts w:ascii="Courier New" w:hAnsi="Courier New"/>
      <w:b/>
      <w:color w:val="204A87"/>
      <w:sz w:val="18"/>
      <w:shd w:val="clear" w:color="auto" w:fill="F8F8F8"/>
    </w:rPr>
  </w:style>
  <w:style w:type="character" w:customStyle="1" w:styleId="OperatorTok">
    <w:name w:val="OperatorTok"/>
    <w:basedOn w:val="VerbatimChar"/>
    <w:rsid w:val="00346003"/>
    <w:rPr>
      <w:rFonts w:ascii="Courier New" w:hAnsi="Courier New"/>
      <w:b/>
      <w:color w:val="CE5C00"/>
      <w:sz w:val="18"/>
      <w:shd w:val="clear" w:color="auto" w:fill="F8F8F8"/>
    </w:rPr>
  </w:style>
  <w:style w:type="character" w:customStyle="1" w:styleId="BuiltInTok">
    <w:name w:val="BuiltInTok"/>
    <w:basedOn w:val="VerbatimChar"/>
    <w:rPr>
      <w:rFonts w:ascii="Courier New" w:hAnsi="Courier New"/>
      <w:sz w:val="18"/>
      <w:shd w:val="clear" w:color="auto" w:fill="F8F8F8"/>
    </w:rPr>
  </w:style>
  <w:style w:type="character" w:customStyle="1" w:styleId="ExtensionTok">
    <w:name w:val="ExtensionTok"/>
    <w:basedOn w:val="VerbatimChar"/>
    <w:rPr>
      <w:rFonts w:ascii="Courier New" w:hAnsi="Courier New"/>
      <w:sz w:val="18"/>
      <w:shd w:val="clear" w:color="auto" w:fill="F8F8F8"/>
    </w:rPr>
  </w:style>
  <w:style w:type="character" w:customStyle="1" w:styleId="PreprocessorTok">
    <w:name w:val="PreprocessorTok"/>
    <w:basedOn w:val="VerbatimChar"/>
    <w:rPr>
      <w:rFonts w:ascii="Courier New" w:hAnsi="Courier New"/>
      <w:i/>
      <w:color w:val="8F5902"/>
      <w:sz w:val="18"/>
      <w:shd w:val="clear" w:color="auto" w:fill="F8F8F8"/>
    </w:rPr>
  </w:style>
  <w:style w:type="character" w:customStyle="1" w:styleId="AttributeTok">
    <w:name w:val="AttributeTok"/>
    <w:basedOn w:val="VerbatimChar"/>
    <w:rPr>
      <w:rFonts w:ascii="Courier New" w:hAnsi="Courier New"/>
      <w:color w:val="C4A000"/>
      <w:sz w:val="18"/>
      <w:shd w:val="clear" w:color="auto" w:fill="F8F8F8"/>
    </w:rPr>
  </w:style>
  <w:style w:type="character" w:customStyle="1" w:styleId="RegionMarkerTok">
    <w:name w:val="RegionMarkerTok"/>
    <w:basedOn w:val="VerbatimChar"/>
    <w:rPr>
      <w:rFonts w:ascii="Courier New" w:hAnsi="Courier New"/>
      <w:sz w:val="18"/>
      <w:shd w:val="clear" w:color="auto" w:fill="F8F8F8"/>
    </w:rPr>
  </w:style>
  <w:style w:type="character" w:customStyle="1" w:styleId="InformationTok">
    <w:name w:val="InformationTok"/>
    <w:basedOn w:val="VerbatimChar"/>
    <w:rPr>
      <w:rFonts w:ascii="Courier New" w:hAnsi="Courier New"/>
      <w:b/>
      <w:i/>
      <w:color w:val="8F5902"/>
      <w:sz w:val="18"/>
      <w:shd w:val="clear" w:color="auto" w:fill="F8F8F8"/>
    </w:rPr>
  </w:style>
  <w:style w:type="character" w:customStyle="1" w:styleId="WarningTok">
    <w:name w:val="WarningTok"/>
    <w:basedOn w:val="VerbatimChar"/>
    <w:rPr>
      <w:rFonts w:ascii="Courier New" w:hAnsi="Courier New"/>
      <w:b/>
      <w:i/>
      <w:color w:val="8F5902"/>
      <w:sz w:val="18"/>
      <w:shd w:val="clear" w:color="auto" w:fill="F8F8F8"/>
    </w:rPr>
  </w:style>
  <w:style w:type="character" w:customStyle="1" w:styleId="AlertTok">
    <w:name w:val="AlertTok"/>
    <w:basedOn w:val="VerbatimChar"/>
    <w:rPr>
      <w:rFonts w:ascii="Courier New" w:hAnsi="Courier New"/>
      <w:color w:val="EF2929"/>
      <w:sz w:val="18"/>
      <w:shd w:val="clear" w:color="auto" w:fill="F8F8F8"/>
    </w:rPr>
  </w:style>
  <w:style w:type="character" w:customStyle="1" w:styleId="ErrorTok">
    <w:name w:val="ErrorTok"/>
    <w:basedOn w:val="VerbatimChar"/>
    <w:rPr>
      <w:rFonts w:ascii="Courier New" w:hAnsi="Courier New"/>
      <w:b/>
      <w:color w:val="A40000"/>
      <w:sz w:val="18"/>
      <w:shd w:val="clear" w:color="auto" w:fill="F8F8F8"/>
    </w:rPr>
  </w:style>
  <w:style w:type="character" w:customStyle="1" w:styleId="NormalTok">
    <w:name w:val="NormalTok"/>
    <w:basedOn w:val="VerbatimChar"/>
    <w:rsid w:val="00346003"/>
    <w:rPr>
      <w:rFonts w:ascii="Courier New" w:hAnsi="Courier New"/>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Applied R in the Classroom</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2019-09-23T12:33:53Z</dcterms:created>
  <dcterms:modified xsi:type="dcterms:W3CDTF">2019-09-23T12:33:53Z</dcterms:modified>
</cp:coreProperties>
</file>