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rPr>
      </w:pPr>
    </w:p>
    <w:p>
      <w:pPr>
        <w:pStyle w:val="3"/>
        <w:rPr>
          <w:rFonts w:ascii="Times New Roman"/>
        </w:rPr>
      </w:pPr>
    </w:p>
    <w:p>
      <w:pPr>
        <w:pStyle w:val="3"/>
        <w:spacing w:before="3"/>
        <w:rPr>
          <w:rFonts w:ascii="Times New Roman"/>
          <w:sz w:val="16"/>
        </w:rPr>
      </w:pPr>
    </w:p>
    <w:p>
      <w:pPr>
        <w:ind w:left="3573"/>
        <w:rPr>
          <w:b/>
          <w:sz w:val="20"/>
        </w:rPr>
      </w:pPr>
      <w:r>
        <w:rPr>
          <w:b/>
          <w:sz w:val="20"/>
        </w:rPr>
        <w:t>MERGER REVIEW REGULATION FORM</w:t>
      </w:r>
    </w:p>
    <w:p>
      <w:pPr>
        <w:pStyle w:val="3"/>
        <w:spacing w:before="6"/>
        <w:jc w:val="both"/>
        <w:rPr>
          <w:b/>
        </w:rPr>
      </w:pPr>
    </w:p>
    <w:p>
      <w:pPr>
        <w:pStyle w:val="3"/>
        <w:spacing w:before="1" w:line="249" w:lineRule="auto"/>
        <w:ind w:left="102" w:right="306"/>
        <w:jc w:val="both"/>
      </w:pPr>
      <w:r>
        <w:rPr>
          <w:b/>
          <w:w w:val="95"/>
        </w:rPr>
        <w:t>INFORMATION</w:t>
      </w:r>
      <w:r>
        <w:rPr>
          <w:b/>
          <w:spacing w:val="-18"/>
          <w:w w:val="95"/>
        </w:rPr>
        <w:t xml:space="preserve"> </w:t>
      </w:r>
      <w:r>
        <w:rPr>
          <w:b/>
          <w:w w:val="95"/>
        </w:rPr>
        <w:t>REQUIRED</w:t>
      </w:r>
      <w:r>
        <w:rPr>
          <w:b/>
          <w:spacing w:val="-16"/>
          <w:w w:val="95"/>
        </w:rPr>
        <w:t xml:space="preserve"> </w:t>
      </w:r>
      <w:r>
        <w:rPr>
          <w:w w:val="95"/>
        </w:rPr>
        <w:t>–</w:t>
      </w:r>
      <w:r>
        <w:rPr>
          <w:spacing w:val="-16"/>
          <w:w w:val="95"/>
        </w:rPr>
        <w:t xml:space="preserve"> </w:t>
      </w:r>
      <w:r>
        <w:rPr>
          <w:w w:val="95"/>
        </w:rPr>
        <w:t>Merger Review</w:t>
      </w:r>
      <w:r>
        <w:rPr>
          <w:spacing w:val="-16"/>
          <w:w w:val="95"/>
        </w:rPr>
        <w:t xml:space="preserve"> </w:t>
      </w:r>
      <w:r>
        <w:rPr>
          <w:w w:val="95"/>
        </w:rPr>
        <w:t>Regulations. This</w:t>
      </w:r>
      <w:r>
        <w:rPr>
          <w:spacing w:val="-16"/>
          <w:w w:val="95"/>
        </w:rPr>
        <w:t xml:space="preserve"> </w:t>
      </w:r>
      <w:r>
        <w:rPr>
          <w:w w:val="95"/>
        </w:rPr>
        <w:t>form</w:t>
      </w:r>
      <w:r>
        <w:rPr>
          <w:spacing w:val="-16"/>
          <w:w w:val="95"/>
        </w:rPr>
        <w:t xml:space="preserve"> </w:t>
      </w:r>
      <w:r>
        <w:rPr>
          <w:w w:val="95"/>
        </w:rPr>
        <w:t>provides</w:t>
      </w:r>
      <w:r>
        <w:rPr>
          <w:spacing w:val="-16"/>
          <w:w w:val="95"/>
        </w:rPr>
        <w:t xml:space="preserve"> </w:t>
      </w:r>
      <w:r>
        <w:rPr>
          <w:w w:val="95"/>
        </w:rPr>
        <w:t>a</w:t>
      </w:r>
      <w:r>
        <w:rPr>
          <w:spacing w:val="-16"/>
          <w:w w:val="95"/>
        </w:rPr>
        <w:t xml:space="preserve"> </w:t>
      </w:r>
      <w:r>
        <w:rPr>
          <w:w w:val="95"/>
        </w:rPr>
        <w:t>framework</w:t>
      </w:r>
      <w:r>
        <w:rPr>
          <w:spacing w:val="-16"/>
          <w:w w:val="95"/>
        </w:rPr>
        <w:t xml:space="preserve"> </w:t>
      </w:r>
      <w:r>
        <w:rPr>
          <w:w w:val="95"/>
        </w:rPr>
        <w:t>for</w:t>
      </w:r>
      <w:r>
        <w:rPr>
          <w:spacing w:val="-16"/>
          <w:w w:val="95"/>
        </w:rPr>
        <w:t xml:space="preserve"> </w:t>
      </w:r>
      <w:r>
        <w:rPr>
          <w:w w:val="95"/>
        </w:rPr>
        <w:t>supplying</w:t>
      </w:r>
      <w:r>
        <w:rPr>
          <w:spacing w:val="-16"/>
          <w:w w:val="95"/>
        </w:rPr>
        <w:t xml:space="preserve"> </w:t>
      </w:r>
      <w:r>
        <w:rPr>
          <w:w w:val="95"/>
        </w:rPr>
        <w:t>to</w:t>
      </w:r>
      <w:r>
        <w:rPr>
          <w:spacing w:val="-16"/>
          <w:w w:val="95"/>
        </w:rPr>
        <w:t xml:space="preserve"> </w:t>
      </w:r>
      <w:r>
        <w:rPr>
          <w:w w:val="95"/>
        </w:rPr>
        <w:t>the Federal Competition and Consumer Protection Commission,</w:t>
      </w:r>
      <w:r>
        <w:rPr>
          <w:spacing w:val="-10"/>
          <w:w w:val="95"/>
        </w:rPr>
        <w:t xml:space="preserve"> </w:t>
      </w:r>
      <w:r>
        <w:rPr>
          <w:w w:val="95"/>
        </w:rPr>
        <w:t>the</w:t>
      </w:r>
      <w:r>
        <w:rPr>
          <w:spacing w:val="-10"/>
          <w:w w:val="95"/>
        </w:rPr>
        <w:t xml:space="preserve"> </w:t>
      </w:r>
      <w:r>
        <w:rPr>
          <w:w w:val="95"/>
        </w:rPr>
        <w:t>information</w:t>
      </w:r>
      <w:r>
        <w:rPr>
          <w:spacing w:val="-10"/>
          <w:w w:val="95"/>
        </w:rPr>
        <w:t xml:space="preserve"> </w:t>
      </w:r>
      <w:r>
        <w:rPr>
          <w:w w:val="95"/>
        </w:rPr>
        <w:t>required</w:t>
      </w:r>
      <w:r>
        <w:rPr>
          <w:spacing w:val="-10"/>
          <w:w w:val="95"/>
        </w:rPr>
        <w:t xml:space="preserve"> </w:t>
      </w:r>
      <w:r>
        <w:rPr>
          <w:w w:val="95"/>
        </w:rPr>
        <w:t>under</w:t>
      </w:r>
      <w:r>
        <w:rPr>
          <w:spacing w:val="-10"/>
          <w:w w:val="95"/>
        </w:rPr>
        <w:t xml:space="preserve"> </w:t>
      </w:r>
      <w:r>
        <w:rPr>
          <w:w w:val="95"/>
        </w:rPr>
        <w:t>part XII</w:t>
      </w:r>
      <w:r>
        <w:rPr>
          <w:color w:val="FF0000"/>
          <w:w w:val="95"/>
        </w:rPr>
        <w:t xml:space="preserve"> </w:t>
      </w:r>
      <w:r>
        <w:rPr>
          <w:i/>
          <w:w w:val="95"/>
        </w:rPr>
        <w:t>of the Federal Competition and Consumer Protection Act</w:t>
      </w:r>
      <w:r>
        <w:rPr>
          <w:w w:val="95"/>
        </w:rPr>
        <w:t>.</w:t>
      </w:r>
      <w:r>
        <w:rPr>
          <w:spacing w:val="-10"/>
          <w:w w:val="95"/>
        </w:rPr>
        <w:t xml:space="preserve"> </w:t>
      </w:r>
      <w:r>
        <w:rPr>
          <w:w w:val="95"/>
        </w:rPr>
        <w:t xml:space="preserve">This </w:t>
      </w:r>
      <w:r>
        <w:t>form should be completed jointly by parties to the proposed transaction. The</w:t>
      </w:r>
      <w:r>
        <w:rPr>
          <w:spacing w:val="-28"/>
        </w:rPr>
        <w:t xml:space="preserve"> </w:t>
      </w:r>
      <w:r>
        <w:t>requested</w:t>
      </w:r>
      <w:r>
        <w:rPr>
          <w:spacing w:val="-28"/>
        </w:rPr>
        <w:t xml:space="preserve"> </w:t>
      </w:r>
      <w:r>
        <w:t>information</w:t>
      </w:r>
      <w:r>
        <w:rPr>
          <w:spacing w:val="-28"/>
        </w:rPr>
        <w:t xml:space="preserve"> </w:t>
      </w:r>
      <w:r>
        <w:t>may</w:t>
      </w:r>
      <w:r>
        <w:rPr>
          <w:spacing w:val="-28"/>
        </w:rPr>
        <w:t xml:space="preserve"> </w:t>
      </w:r>
      <w:r>
        <w:t>be</w:t>
      </w:r>
      <w:r>
        <w:rPr>
          <w:spacing w:val="-28"/>
        </w:rPr>
        <w:t xml:space="preserve"> </w:t>
      </w:r>
      <w:r>
        <w:t>provided</w:t>
      </w:r>
      <w:r>
        <w:rPr>
          <w:spacing w:val="-28"/>
        </w:rPr>
        <w:t xml:space="preserve"> </w:t>
      </w:r>
      <w:r>
        <w:t>on</w:t>
      </w:r>
      <w:r>
        <w:rPr>
          <w:spacing w:val="-27"/>
        </w:rPr>
        <w:t xml:space="preserve"> </w:t>
      </w:r>
      <w:r>
        <w:t>the</w:t>
      </w:r>
      <w:r>
        <w:rPr>
          <w:spacing w:val="-28"/>
        </w:rPr>
        <w:t xml:space="preserve"> </w:t>
      </w:r>
      <w:r>
        <w:t>form</w:t>
      </w:r>
      <w:r>
        <w:rPr>
          <w:spacing w:val="-28"/>
        </w:rPr>
        <w:t xml:space="preserve"> </w:t>
      </w:r>
      <w:r>
        <w:t>or</w:t>
      </w:r>
      <w:r>
        <w:rPr>
          <w:spacing w:val="-28"/>
        </w:rPr>
        <w:t xml:space="preserve"> </w:t>
      </w:r>
      <w:r>
        <w:t>in</w:t>
      </w:r>
      <w:r>
        <w:rPr>
          <w:spacing w:val="-28"/>
        </w:rPr>
        <w:t xml:space="preserve"> </w:t>
      </w:r>
      <w:r>
        <w:t>appendices</w:t>
      </w:r>
      <w:r>
        <w:rPr>
          <w:spacing w:val="-28"/>
        </w:rPr>
        <w:t xml:space="preserve"> </w:t>
      </w:r>
      <w:r>
        <w:t>identified</w:t>
      </w:r>
      <w:r>
        <w:rPr>
          <w:spacing w:val="-28"/>
        </w:rPr>
        <w:t xml:space="preserve"> </w:t>
      </w:r>
      <w:r>
        <w:t>by</w:t>
      </w:r>
      <w:r>
        <w:rPr>
          <w:spacing w:val="-28"/>
        </w:rPr>
        <w:t xml:space="preserve"> </w:t>
      </w:r>
      <w:r>
        <w:t>the corresponding</w:t>
      </w:r>
      <w:r>
        <w:rPr>
          <w:spacing w:val="-25"/>
        </w:rPr>
        <w:t xml:space="preserve"> </w:t>
      </w:r>
      <w:r>
        <w:t>section</w:t>
      </w:r>
      <w:r>
        <w:rPr>
          <w:spacing w:val="-25"/>
        </w:rPr>
        <w:t xml:space="preserve"> </w:t>
      </w:r>
      <w:r>
        <w:t>number</w:t>
      </w:r>
      <w:r>
        <w:rPr>
          <w:spacing w:val="-24"/>
        </w:rPr>
        <w:t xml:space="preserve"> </w:t>
      </w:r>
      <w:r>
        <w:t>used</w:t>
      </w:r>
      <w:r>
        <w:rPr>
          <w:spacing w:val="-25"/>
        </w:rPr>
        <w:t xml:space="preserve"> </w:t>
      </w:r>
      <w:r>
        <w:t>in</w:t>
      </w:r>
      <w:r>
        <w:rPr>
          <w:spacing w:val="-24"/>
        </w:rPr>
        <w:t xml:space="preserve"> </w:t>
      </w:r>
      <w:r>
        <w:t>the</w:t>
      </w:r>
      <w:r>
        <w:rPr>
          <w:spacing w:val="-25"/>
        </w:rPr>
        <w:t xml:space="preserve"> </w:t>
      </w:r>
      <w:r>
        <w:t>form</w:t>
      </w:r>
      <w:r>
        <w:rPr>
          <w:spacing w:val="-25"/>
        </w:rPr>
        <w:t xml:space="preserve"> </w:t>
      </w:r>
      <w:r>
        <w:t>and</w:t>
      </w:r>
      <w:r>
        <w:rPr>
          <w:spacing w:val="-24"/>
        </w:rPr>
        <w:t xml:space="preserve"> </w:t>
      </w:r>
      <w:r>
        <w:t>should</w:t>
      </w:r>
      <w:r>
        <w:rPr>
          <w:spacing w:val="-25"/>
        </w:rPr>
        <w:t xml:space="preserve"> </w:t>
      </w:r>
      <w:r>
        <w:t>be</w:t>
      </w:r>
      <w:r>
        <w:rPr>
          <w:spacing w:val="-24"/>
        </w:rPr>
        <w:t xml:space="preserve"> </w:t>
      </w:r>
      <w:r>
        <w:t>bound</w:t>
      </w:r>
      <w:r>
        <w:rPr>
          <w:spacing w:val="-25"/>
        </w:rPr>
        <w:t xml:space="preserve"> </w:t>
      </w:r>
      <w:r>
        <w:t>together.</w:t>
      </w:r>
      <w:r>
        <w:rPr>
          <w:spacing w:val="-25"/>
        </w:rPr>
        <w:t xml:space="preserve"> </w:t>
      </w:r>
    </w:p>
    <w:p>
      <w:pPr>
        <w:pStyle w:val="3"/>
        <w:spacing w:before="10"/>
        <w:rPr>
          <w:sz w:val="27"/>
        </w:rPr>
      </w:pPr>
    </w:p>
    <w:p>
      <w:pPr>
        <w:tabs>
          <w:tab w:val="left" w:pos="11279"/>
        </w:tabs>
        <w:spacing w:before="59"/>
        <w:ind w:left="159"/>
        <w:rPr>
          <w:b/>
          <w:sz w:val="18"/>
          <w:szCs w:val="20"/>
        </w:rPr>
      </w:pPr>
      <w:r>
        <w:rPr>
          <w:b/>
          <w:color w:val="FFFFFF"/>
          <w:w w:val="72"/>
          <w:sz w:val="20"/>
          <w:szCs w:val="20"/>
          <w:shd w:val="clear" w:color="auto" w:fill="000000"/>
        </w:rPr>
        <w:t xml:space="preserve"> </w:t>
      </w:r>
      <w:r>
        <w:rPr>
          <w:b/>
          <w:color w:val="FFFFFF"/>
          <w:sz w:val="20"/>
          <w:szCs w:val="20"/>
          <w:shd w:val="clear" w:color="auto" w:fill="000000"/>
        </w:rPr>
        <w:t xml:space="preserve"> </w:t>
      </w:r>
      <w:r>
        <w:rPr>
          <w:b/>
          <w:color w:val="FFFFFF"/>
          <w:spacing w:val="-23"/>
          <w:sz w:val="20"/>
          <w:szCs w:val="20"/>
          <w:shd w:val="clear" w:color="auto" w:fill="000000"/>
        </w:rPr>
        <w:t xml:space="preserve"> </w:t>
      </w:r>
      <w:r>
        <w:rPr>
          <w:b/>
          <w:color w:val="FFFFFF"/>
          <w:w w:val="90"/>
          <w:sz w:val="20"/>
          <w:szCs w:val="20"/>
          <w:shd w:val="clear" w:color="auto" w:fill="000000"/>
        </w:rPr>
        <w:t xml:space="preserve">1.  </w:t>
      </w:r>
      <w:r>
        <w:rPr>
          <w:b/>
          <w:color w:val="FFFFFF"/>
          <w:w w:val="90"/>
          <w:sz w:val="18"/>
          <w:szCs w:val="20"/>
          <w:shd w:val="clear" w:color="auto" w:fill="000000"/>
        </w:rPr>
        <w:t>GENERAL</w:t>
      </w:r>
      <w:r>
        <w:rPr>
          <w:b/>
          <w:color w:val="FFFFFF"/>
          <w:spacing w:val="-18"/>
          <w:w w:val="90"/>
          <w:sz w:val="18"/>
          <w:szCs w:val="20"/>
          <w:shd w:val="clear" w:color="auto" w:fill="000000"/>
        </w:rPr>
        <w:t xml:space="preserve"> </w:t>
      </w:r>
      <w:r>
        <w:rPr>
          <w:b/>
          <w:color w:val="FFFFFF"/>
          <w:w w:val="90"/>
          <w:sz w:val="18"/>
          <w:szCs w:val="20"/>
          <w:shd w:val="clear" w:color="auto" w:fill="000000"/>
        </w:rPr>
        <w:t>INFORMATION</w:t>
      </w:r>
      <w:r>
        <w:rPr>
          <w:b/>
          <w:color w:val="FFFFFF"/>
          <w:sz w:val="18"/>
          <w:szCs w:val="20"/>
          <w:shd w:val="clear" w:color="auto" w:fill="000000"/>
        </w:rPr>
        <w:tab/>
      </w:r>
    </w:p>
    <w:p>
      <w:pPr>
        <w:pStyle w:val="3"/>
        <w:spacing w:before="161"/>
        <w:ind w:left="188"/>
        <w:rPr>
          <w:sz w:val="18"/>
          <w:szCs w:val="18"/>
        </w:rPr>
      </w:pPr>
      <w:r>
        <w:rPr>
          <w:sz w:val="18"/>
          <w:szCs w:val="18"/>
        </w:rPr>
        <w:t>Combined Annual Turnover of merger parties</w:t>
      </w:r>
    </w:p>
    <w:p>
      <w:pPr>
        <w:pStyle w:val="11"/>
        <w:numPr>
          <w:ilvl w:val="0"/>
          <w:numId w:val="1"/>
        </w:numPr>
        <w:spacing w:before="171"/>
        <w:rPr>
          <w:sz w:val="18"/>
          <w:szCs w:val="18"/>
        </w:rPr>
      </w:pPr>
      <w:r>
        <w:rPr>
          <w:sz w:val="18"/>
          <w:szCs w:val="18"/>
        </w:rPr>
        <w:t>Less than N1Billion</w:t>
      </w:r>
    </w:p>
    <w:p>
      <w:pPr>
        <w:pStyle w:val="11"/>
        <w:numPr>
          <w:ilvl w:val="0"/>
          <w:numId w:val="2"/>
        </w:numPr>
        <w:spacing w:before="171"/>
        <w:rPr>
          <w:sz w:val="18"/>
          <w:szCs w:val="18"/>
        </w:rPr>
      </w:pPr>
      <w:r>
        <w:rPr>
          <w:sz w:val="18"/>
          <w:szCs w:val="18"/>
        </w:rPr>
        <w:t>N1Billion – N5Billion</w:t>
      </w:r>
    </w:p>
    <w:p>
      <w:pPr>
        <w:pStyle w:val="11"/>
        <w:numPr>
          <w:ilvl w:val="0"/>
          <w:numId w:val="2"/>
        </w:numPr>
        <w:spacing w:before="171"/>
        <w:rPr>
          <w:sz w:val="18"/>
          <w:szCs w:val="18"/>
        </w:rPr>
      </w:pPr>
      <w:r>
        <w:rPr>
          <w:sz w:val="18"/>
          <w:szCs w:val="18"/>
        </w:rPr>
        <w:t>N5Billion – N10Billion</w:t>
      </w:r>
    </w:p>
    <w:p>
      <w:pPr>
        <w:numPr>
          <w:ilvl w:val="0"/>
          <w:numId w:val="2"/>
        </w:numPr>
        <w:spacing w:before="171"/>
        <w:rPr>
          <w:sz w:val="18"/>
          <w:szCs w:val="18"/>
        </w:rPr>
      </w:pPr>
      <w:r>
        <w:rPr>
          <w:sz w:val="18"/>
          <w:szCs w:val="18"/>
        </w:rPr>
        <w:t>N10Billion – above</w:t>
      </w:r>
    </w:p>
    <w:p>
      <w:pPr>
        <w:spacing w:before="112" w:line="360" w:lineRule="auto"/>
        <w:ind w:right="7533"/>
        <w:rPr>
          <w:sz w:val="2"/>
          <w:szCs w:val="4"/>
        </w:rPr>
      </w:pPr>
    </w:p>
    <w:p>
      <w:pPr>
        <w:spacing w:before="112" w:line="360" w:lineRule="auto"/>
        <w:ind w:left="180" w:right="7533"/>
        <w:rPr>
          <w:sz w:val="16"/>
          <w:szCs w:val="20"/>
        </w:rPr>
      </w:pPr>
      <w:r>
        <w:rPr>
          <w:sz w:val="16"/>
          <w:szCs w:val="20"/>
        </w:rPr>
        <w:t>Name of each merger party</w:t>
      </w:r>
    </w:p>
    <w:p>
      <w:pPr>
        <w:spacing w:before="112" w:line="360" w:lineRule="auto"/>
        <w:ind w:right="7533"/>
        <w:rPr>
          <w:rFonts w:hint="default"/>
          <w:sz w:val="16"/>
          <w:szCs w:val="20"/>
          <w:lang w:val="en-US"/>
        </w:rPr>
      </w:pPr>
      <w:r>
        <w:rPr>
          <w:sz w:val="16"/>
          <w:szCs w:val="20"/>
        </w:rPr>
        <w:pict>
          <v:rect id="_x0000_s1090" o:spid="_x0000_s1090" o:spt="1" style="position:absolute;left:0pt;margin-left:25.85pt;margin-top:0.35pt;height:27.25pt;width:548pt;mso-position-horizontal-relative:page;z-index:251689984;mso-width-relative:page;mso-height-relative:page;" filled="f" coordsize="21600,21600">
            <v:path/>
            <v:fill on="f" focussize="0,0"/>
            <v:stroke weight="0.5pt"/>
            <v:imagedata o:title=""/>
            <o:lock v:ext="edit"/>
          </v:rect>
        </w:pict>
      </w:r>
      <w:r>
        <w:rPr>
          <w:rFonts w:hint="default"/>
          <w:sz w:val="16"/>
          <w:szCs w:val="20"/>
          <w:lang w:val="en-US"/>
        </w:rPr>
        <w:t xml:space="preserve">        </w:t>
      </w:r>
    </w:p>
    <w:p>
      <w:pPr>
        <w:spacing w:before="112" w:line="360" w:lineRule="auto"/>
        <w:ind w:right="7533" w:firstLine="720"/>
        <w:rPr>
          <w:sz w:val="8"/>
          <w:szCs w:val="12"/>
        </w:rPr>
      </w:pPr>
    </w:p>
    <w:p>
      <w:pPr>
        <w:spacing w:before="112" w:line="360" w:lineRule="auto"/>
        <w:ind w:left="180" w:right="600"/>
        <w:rPr>
          <w:sz w:val="16"/>
          <w:szCs w:val="20"/>
        </w:rPr>
      </w:pPr>
      <w:r>
        <w:rPr>
          <w:sz w:val="16"/>
          <w:szCs w:val="20"/>
        </w:rPr>
        <w:t>Web/Email Address, Office/Mailing Address and Telephone Number of the Head Offices of each of the merger parties</w:t>
      </w:r>
    </w:p>
    <w:p>
      <w:pPr>
        <w:spacing w:before="112" w:line="360" w:lineRule="auto"/>
        <w:ind w:right="7533" w:firstLine="720"/>
        <w:rPr>
          <w:sz w:val="16"/>
          <w:szCs w:val="20"/>
        </w:rPr>
      </w:pPr>
      <w:r>
        <w:rPr>
          <w:sz w:val="16"/>
          <w:szCs w:val="20"/>
        </w:rPr>
        <w:pict>
          <v:group id="_x0000_s1093" o:spid="_x0000_s1093" o:spt="203" style="position:absolute;left:0pt;margin-left:11.55pt;margin-top:1.95pt;height:46.35pt;width:548.5pt;z-index:251693056;mso-width-relative:page;mso-height-relative:page;" coordsize="10970,1137">
            <o:lock v:ext="edit"/>
            <v:rect id="_x0000_s1094" o:spid="_x0000_s1094" o:spt="1" style="position:absolute;left:5;top:5;height:1127;width:10960;" filled="f" coordsize="21600,21600">
              <v:path/>
              <v:fill on="f" focussize="0,0"/>
              <v:stroke weight="0.5pt"/>
              <v:imagedata o:title=""/>
              <o:lock v:ext="edit"/>
            </v:rect>
          </v:group>
        </w:pict>
      </w:r>
    </w:p>
    <w:p>
      <w:pPr>
        <w:spacing w:before="112" w:line="360" w:lineRule="auto"/>
        <w:ind w:right="7533" w:firstLine="720"/>
        <w:rPr>
          <w:sz w:val="16"/>
          <w:szCs w:val="20"/>
        </w:rPr>
      </w:pPr>
    </w:p>
    <w:p>
      <w:pPr>
        <w:spacing w:before="112" w:line="360" w:lineRule="auto"/>
        <w:ind w:right="7533"/>
        <w:rPr>
          <w:sz w:val="16"/>
          <w:szCs w:val="20"/>
        </w:rPr>
      </w:pPr>
    </w:p>
    <w:p>
      <w:pPr>
        <w:pStyle w:val="3"/>
        <w:spacing w:before="18" w:line="360" w:lineRule="auto"/>
        <w:ind w:left="236" w:right="240"/>
        <w:jc w:val="both"/>
        <w:rPr>
          <w:sz w:val="18"/>
          <w:szCs w:val="18"/>
        </w:rPr>
      </w:pPr>
      <w:r>
        <w:rPr>
          <w:sz w:val="18"/>
          <w:szCs w:val="18"/>
        </w:rPr>
        <w:pict>
          <v:rect id="_x0000_s1069" o:spid="_x0000_s1069" o:spt="1" style="position:absolute;left:0pt;margin-left:25.85pt;margin-top:37.95pt;height:32.25pt;width:548pt;mso-position-horizontal-relative:page;mso-wrap-distance-bottom:0pt;mso-wrap-distance-top:0pt;z-index:-251630592;mso-width-relative:page;mso-height-relative:page;" filled="f" coordsize="21600,21600">
            <v:path/>
            <v:fill on="f" focussize="0,0"/>
            <v:stroke weight="0.5pt"/>
            <v:imagedata o:title=""/>
            <o:lock v:ext="edit"/>
            <w10:wrap type="topAndBottom"/>
          </v:rect>
        </w:pict>
      </w:r>
      <w:r>
        <w:rPr>
          <w:sz w:val="18"/>
          <w:szCs w:val="18"/>
        </w:rPr>
        <w:t xml:space="preserve">Name, web/email address, telephone number and position of any authorized representatives of each of the merger parties </w:t>
      </w:r>
      <w:r>
        <w:rPr>
          <w:i/>
          <w:iCs/>
          <w:sz w:val="18"/>
          <w:szCs w:val="18"/>
        </w:rPr>
        <w:t>(where there is more than one more authorized representative, please indicate desired address/contact details for service)</w:t>
      </w:r>
      <w:r>
        <w:rPr>
          <w:sz w:val="18"/>
          <w:szCs w:val="18"/>
        </w:rPr>
        <w:t xml:space="preserve">  </w:t>
      </w:r>
    </w:p>
    <w:p>
      <w:pPr>
        <w:pStyle w:val="3"/>
        <w:spacing w:before="42" w:after="2"/>
        <w:ind w:right="240" w:firstLine="236"/>
        <w:jc w:val="both"/>
        <w:rPr>
          <w:sz w:val="18"/>
          <w:szCs w:val="18"/>
        </w:rPr>
      </w:pPr>
    </w:p>
    <w:p>
      <w:pPr>
        <w:pStyle w:val="3"/>
        <w:spacing w:before="42" w:after="2"/>
        <w:ind w:right="240" w:firstLine="236"/>
        <w:jc w:val="both"/>
        <w:rPr>
          <w:sz w:val="18"/>
          <w:szCs w:val="18"/>
        </w:rPr>
      </w:pPr>
      <w:r>
        <w:rPr>
          <w:sz w:val="18"/>
          <w:szCs w:val="18"/>
        </w:rPr>
        <w:pict>
          <v:rect id="_x0000_s1059" o:spid="_x0000_s1059" o:spt="1" style="position:absolute;left:0pt;margin-left:25.85pt;margin-top:20.75pt;height:32.25pt;width:548pt;mso-position-horizontal-relative:page;mso-wrap-distance-bottom:0pt;mso-wrap-distance-top:0pt;z-index:-251633664;mso-width-relative:page;mso-height-relative:page;" filled="f" coordsize="21600,21600">
            <v:path/>
            <v:fill on="f" focussize="0,0"/>
            <v:stroke weight="0.5pt"/>
            <v:imagedata o:title=""/>
            <o:lock v:ext="edit"/>
            <w10:wrap type="topAndBottom"/>
          </v:rect>
        </w:pict>
      </w:r>
      <w:r>
        <w:rPr>
          <w:sz w:val="18"/>
          <w:szCs w:val="18"/>
        </w:rPr>
        <w:t>If not already provided above, name, web/email address, telephone number and position of person(s) submitting this Notice</w:t>
      </w:r>
    </w:p>
    <w:p>
      <w:pPr>
        <w:pStyle w:val="3"/>
        <w:spacing w:before="42" w:after="2"/>
        <w:ind w:right="240" w:firstLine="236"/>
        <w:jc w:val="both"/>
        <w:rPr>
          <w:sz w:val="18"/>
          <w:szCs w:val="18"/>
        </w:rPr>
      </w:pPr>
      <w:r>
        <w:rPr>
          <w:sz w:val="18"/>
          <w:szCs w:val="18"/>
        </w:rPr>
        <w:t xml:space="preserve">  </w:t>
      </w:r>
    </w:p>
    <w:p>
      <w:pPr>
        <w:pStyle w:val="3"/>
        <w:ind w:left="180" w:right="240"/>
        <w:jc w:val="both"/>
        <w:rPr>
          <w:sz w:val="18"/>
          <w:szCs w:val="18"/>
        </w:rPr>
      </w:pPr>
      <w:r>
        <w:rPr>
          <w:sz w:val="18"/>
          <w:szCs w:val="18"/>
        </w:rPr>
        <w:pict>
          <v:rect id="_x0000_s1071" o:spid="_x0000_s1071" o:spt="1" style="position:absolute;left:0pt;margin-left:24.6pt;margin-top:30.45pt;height:32.25pt;width:548pt;mso-position-horizontal-relative:page;mso-wrap-distance-bottom:0pt;mso-wrap-distance-top:0pt;z-index:-251629568;mso-width-relative:page;mso-height-relative:page;" filled="f" coordsize="21600,21600">
            <v:path/>
            <v:fill on="f" focussize="0,0"/>
            <v:stroke weight="0.5pt"/>
            <v:imagedata o:title=""/>
            <o:lock v:ext="edit"/>
            <w10:wrap type="topAndBottom"/>
          </v:rect>
        </w:pict>
      </w:r>
      <w:r>
        <w:rPr>
          <w:sz w:val="18"/>
          <w:szCs w:val="18"/>
        </w:rPr>
        <w:t>If different from above, please provide name, web/email address, telephone number and position to whom the Commission should address any correspondence</w:t>
      </w:r>
    </w:p>
    <w:p>
      <w:pPr>
        <w:pStyle w:val="3"/>
        <w:tabs>
          <w:tab w:val="left" w:pos="2520"/>
        </w:tabs>
        <w:spacing w:before="85"/>
        <w:ind w:right="240"/>
        <w:jc w:val="both"/>
        <w:rPr>
          <w:sz w:val="12"/>
          <w:szCs w:val="12"/>
        </w:rPr>
      </w:pPr>
    </w:p>
    <w:p>
      <w:pPr>
        <w:pStyle w:val="3"/>
        <w:spacing w:before="85"/>
        <w:ind w:left="236" w:right="240"/>
        <w:jc w:val="both"/>
        <w:rPr>
          <w:sz w:val="18"/>
          <w:szCs w:val="18"/>
        </w:rPr>
      </w:pPr>
      <w:r>
        <w:rPr>
          <w:sz w:val="18"/>
          <w:szCs w:val="18"/>
        </w:rPr>
        <w:t xml:space="preserve">Where an external representative is appointed, please provide Name, web/email address, telephone number of external representatives </w:t>
      </w:r>
    </w:p>
    <w:p>
      <w:pPr>
        <w:pStyle w:val="3"/>
        <w:spacing w:before="85"/>
        <w:ind w:left="236"/>
        <w:rPr>
          <w:sz w:val="2"/>
          <w:szCs w:val="2"/>
        </w:rPr>
      </w:pPr>
      <w:r>
        <w:rPr>
          <w:sz w:val="18"/>
          <w:szCs w:val="18"/>
        </w:rPr>
        <w:pict>
          <v:rect id="_x0000_s1067" o:spid="_x0000_s1067" o:spt="1" style="position:absolute;left:0pt;margin-left:25.85pt;margin-top:6.15pt;height:32.25pt;width:548pt;mso-position-horizontal-relative:page;mso-wrap-distance-bottom:0pt;mso-wrap-distance-top:0pt;z-index:-251631616;mso-width-relative:page;mso-height-relative:page;" filled="f" coordsize="21600,21600">
            <v:path/>
            <v:fill on="f" focussize="0,0"/>
            <v:stroke weight="0.5pt"/>
            <v:imagedata o:title=""/>
            <o:lock v:ext="edit"/>
            <w10:wrap type="topAndBottom"/>
          </v:rect>
        </w:pict>
      </w:r>
    </w:p>
    <w:p>
      <w:pPr>
        <w:pStyle w:val="3"/>
        <w:spacing w:before="85"/>
        <w:ind w:left="236"/>
        <w:rPr>
          <w:sz w:val="14"/>
          <w:szCs w:val="14"/>
        </w:rPr>
      </w:pPr>
      <w:r>
        <w:rPr>
          <w:sz w:val="18"/>
          <w:szCs w:val="18"/>
        </w:rPr>
        <w:t xml:space="preserve">  </w:t>
      </w:r>
    </w:p>
    <w:p>
      <w:pPr>
        <w:pStyle w:val="3"/>
        <w:spacing w:before="85"/>
        <w:ind w:left="236"/>
        <w:jc w:val="both"/>
        <w:rPr>
          <w:rFonts w:hint="default"/>
          <w:lang w:val="en-US"/>
        </w:rPr>
        <w:sectPr>
          <w:headerReference r:id="rId3" w:type="default"/>
          <w:footerReference r:id="rId4" w:type="default"/>
          <w:pgSz w:w="12240" w:h="15840"/>
          <w:pgMar w:top="700" w:right="540" w:bottom="720" w:left="300" w:header="360" w:footer="421" w:gutter="0"/>
          <w:cols w:space="720" w:num="1"/>
        </w:sectPr>
      </w:pPr>
      <w:r>
        <w:rPr>
          <w:sz w:val="18"/>
          <w:szCs w:val="18"/>
        </w:rPr>
        <w:t>Indicate each of the notifying parties and the other parties to the merger and describe the nature of the undertaking’s busine</w:t>
      </w:r>
      <w:r>
        <w:rPr>
          <w:sz w:val="18"/>
          <w:szCs w:val="18"/>
        </w:rPr>
        <w:pict>
          <v:rect id="_x0000_s1072" o:spid="_x0000_s1072" o:spt="1" style="position:absolute;left:0pt;margin-left:26.55pt;margin-top:13.8pt;height:32.25pt;width:548pt;mso-position-horizontal-relative:page;mso-wrap-distance-bottom:0pt;mso-wrap-distance-top:0pt;z-index:-251628544;mso-width-relative:page;mso-height-relative:page;" filled="f" coordsize="21600,21600">
            <v:path/>
            <v:fill on="f" focussize="0,0"/>
            <v:stroke weight="0.5pt"/>
            <v:imagedata o:title=""/>
            <o:lock v:ext="edit"/>
            <w10:wrap type="topAndBottom"/>
          </v:rect>
        </w:pict>
      </w:r>
      <w:r>
        <w:rPr>
          <w:rFonts w:hint="default"/>
          <w:sz w:val="18"/>
          <w:szCs w:val="18"/>
          <w:lang w:val="en-US"/>
        </w:rPr>
        <w:t>ss</w:t>
      </w:r>
    </w:p>
    <w:p>
      <w:pPr>
        <w:pStyle w:val="3"/>
        <w:spacing w:before="7" w:after="1"/>
        <w:rPr>
          <w:rFonts w:hint="default"/>
          <w:sz w:val="24"/>
          <w:lang w:val="en-US"/>
        </w:rPr>
      </w:pPr>
    </w:p>
    <w:tbl>
      <w:tblPr>
        <w:tblStyle w:val="9"/>
        <w:tblW w:w="0" w:type="auto"/>
        <w:tblInd w:w="1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0"/>
        <w:gridCol w:w="7987"/>
        <w:gridCol w:w="953"/>
        <w:gridCol w:w="1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8707" w:type="dxa"/>
            <w:gridSpan w:val="2"/>
            <w:tcBorders>
              <w:bottom w:val="nil"/>
              <w:right w:val="nil"/>
            </w:tcBorders>
          </w:tcPr>
          <w:p>
            <w:pPr>
              <w:pStyle w:val="12"/>
              <w:spacing w:before="46" w:line="249" w:lineRule="auto"/>
              <w:ind w:left="72" w:right="573"/>
              <w:rPr>
                <w:sz w:val="18"/>
              </w:rPr>
            </w:pPr>
            <w:r>
              <w:rPr>
                <w:sz w:val="18"/>
              </w:rPr>
              <w:t>To</w:t>
            </w:r>
            <w:r>
              <w:rPr>
                <w:spacing w:val="-35"/>
                <w:sz w:val="18"/>
              </w:rPr>
              <w:t xml:space="preserve"> </w:t>
            </w:r>
            <w:r>
              <w:rPr>
                <w:sz w:val="18"/>
              </w:rPr>
              <w:t>supply</w:t>
            </w:r>
            <w:r>
              <w:rPr>
                <w:spacing w:val="-34"/>
                <w:sz w:val="18"/>
              </w:rPr>
              <w:t xml:space="preserve"> </w:t>
            </w:r>
            <w:r>
              <w:rPr>
                <w:sz w:val="18"/>
              </w:rPr>
              <w:t>additional</w:t>
            </w:r>
            <w:r>
              <w:rPr>
                <w:spacing w:val="-34"/>
                <w:sz w:val="18"/>
              </w:rPr>
              <w:t xml:space="preserve"> </w:t>
            </w:r>
            <w:r>
              <w:rPr>
                <w:sz w:val="18"/>
              </w:rPr>
              <w:t>information,</w:t>
            </w:r>
            <w:r>
              <w:rPr>
                <w:spacing w:val="-34"/>
                <w:sz w:val="18"/>
              </w:rPr>
              <w:t xml:space="preserve"> </w:t>
            </w:r>
            <w:r>
              <w:rPr>
                <w:sz w:val="18"/>
              </w:rPr>
              <w:t>please</w:t>
            </w:r>
            <w:r>
              <w:rPr>
                <w:spacing w:val="-34"/>
                <w:sz w:val="18"/>
              </w:rPr>
              <w:t xml:space="preserve"> </w:t>
            </w:r>
            <w:r>
              <w:rPr>
                <w:sz w:val="18"/>
              </w:rPr>
              <w:t>attach</w:t>
            </w:r>
            <w:r>
              <w:rPr>
                <w:spacing w:val="-35"/>
                <w:sz w:val="18"/>
              </w:rPr>
              <w:t xml:space="preserve"> </w:t>
            </w:r>
            <w:r>
              <w:rPr>
                <w:sz w:val="18"/>
              </w:rPr>
              <w:t>appendices</w:t>
            </w:r>
            <w:r>
              <w:rPr>
                <w:spacing w:val="-34"/>
                <w:sz w:val="18"/>
              </w:rPr>
              <w:t xml:space="preserve"> </w:t>
            </w:r>
            <w:r>
              <w:rPr>
                <w:sz w:val="18"/>
              </w:rPr>
              <w:t>where</w:t>
            </w:r>
            <w:r>
              <w:rPr>
                <w:spacing w:val="-34"/>
                <w:sz w:val="18"/>
              </w:rPr>
              <w:t xml:space="preserve"> </w:t>
            </w:r>
            <w:r>
              <w:rPr>
                <w:sz w:val="18"/>
              </w:rPr>
              <w:t>applicable.</w:t>
            </w:r>
            <w:r>
              <w:rPr>
                <w:spacing w:val="-34"/>
                <w:sz w:val="18"/>
              </w:rPr>
              <w:t xml:space="preserve"> </w:t>
            </w:r>
            <w:r>
              <w:rPr>
                <w:sz w:val="18"/>
              </w:rPr>
              <w:t>Indicate</w:t>
            </w:r>
            <w:r>
              <w:rPr>
                <w:spacing w:val="-34"/>
                <w:sz w:val="18"/>
              </w:rPr>
              <w:t xml:space="preserve"> </w:t>
            </w:r>
            <w:r>
              <w:rPr>
                <w:sz w:val="18"/>
              </w:rPr>
              <w:t>the</w:t>
            </w:r>
            <w:r>
              <w:rPr>
                <w:spacing w:val="-35"/>
                <w:sz w:val="18"/>
              </w:rPr>
              <w:t xml:space="preserve"> </w:t>
            </w:r>
            <w:r>
              <w:rPr>
                <w:sz w:val="18"/>
              </w:rPr>
              <w:t>number</w:t>
            </w:r>
            <w:r>
              <w:rPr>
                <w:spacing w:val="-34"/>
                <w:sz w:val="18"/>
              </w:rPr>
              <w:t xml:space="preserve"> </w:t>
            </w:r>
            <w:r>
              <w:rPr>
                <w:spacing w:val="-8"/>
                <w:sz w:val="18"/>
              </w:rPr>
              <w:t xml:space="preserve">of </w:t>
            </w:r>
            <w:r>
              <w:rPr>
                <w:sz w:val="18"/>
              </w:rPr>
              <w:t>pages</w:t>
            </w:r>
            <w:r>
              <w:rPr>
                <w:spacing w:val="-22"/>
                <w:sz w:val="18"/>
              </w:rPr>
              <w:t xml:space="preserve"> </w:t>
            </w:r>
            <w:r>
              <w:rPr>
                <w:sz w:val="18"/>
              </w:rPr>
              <w:t>contained</w:t>
            </w:r>
            <w:r>
              <w:rPr>
                <w:spacing w:val="-21"/>
                <w:sz w:val="18"/>
              </w:rPr>
              <w:t xml:space="preserve"> </w:t>
            </w:r>
            <w:r>
              <w:rPr>
                <w:sz w:val="18"/>
              </w:rPr>
              <w:t>in</w:t>
            </w:r>
            <w:r>
              <w:rPr>
                <w:spacing w:val="-21"/>
                <w:sz w:val="18"/>
              </w:rPr>
              <w:t xml:space="preserve"> </w:t>
            </w:r>
            <w:r>
              <w:rPr>
                <w:sz w:val="18"/>
              </w:rPr>
              <w:t>each</w:t>
            </w:r>
            <w:r>
              <w:rPr>
                <w:spacing w:val="-21"/>
                <w:sz w:val="18"/>
              </w:rPr>
              <w:t xml:space="preserve"> </w:t>
            </w:r>
            <w:r>
              <w:rPr>
                <w:sz w:val="18"/>
              </w:rPr>
              <w:t>appendix</w:t>
            </w:r>
            <w:r>
              <w:rPr>
                <w:spacing w:val="-21"/>
                <w:sz w:val="18"/>
              </w:rPr>
              <w:t xml:space="preserve"> </w:t>
            </w:r>
            <w:r>
              <w:rPr>
                <w:sz w:val="18"/>
              </w:rPr>
              <w:t>in</w:t>
            </w:r>
            <w:r>
              <w:rPr>
                <w:spacing w:val="-21"/>
                <w:sz w:val="18"/>
              </w:rPr>
              <w:t xml:space="preserve"> </w:t>
            </w:r>
            <w:r>
              <w:rPr>
                <w:sz w:val="18"/>
              </w:rPr>
              <w:t>the</w:t>
            </w:r>
            <w:r>
              <w:rPr>
                <w:spacing w:val="-21"/>
                <w:sz w:val="18"/>
              </w:rPr>
              <w:t xml:space="preserve"> </w:t>
            </w:r>
            <w:r>
              <w:rPr>
                <w:sz w:val="18"/>
              </w:rPr>
              <w:t>appropriate</w:t>
            </w:r>
            <w:r>
              <w:rPr>
                <w:spacing w:val="-21"/>
                <w:sz w:val="18"/>
              </w:rPr>
              <w:t xml:space="preserve"> </w:t>
            </w:r>
            <w:r>
              <w:rPr>
                <w:sz w:val="18"/>
              </w:rPr>
              <w:t>column</w:t>
            </w:r>
            <w:r>
              <w:rPr>
                <w:spacing w:val="-21"/>
                <w:sz w:val="18"/>
              </w:rPr>
              <w:t xml:space="preserve"> </w:t>
            </w:r>
            <w:r>
              <w:rPr>
                <w:sz w:val="18"/>
              </w:rPr>
              <w:t>beside</w:t>
            </w:r>
            <w:r>
              <w:rPr>
                <w:spacing w:val="-21"/>
                <w:sz w:val="18"/>
              </w:rPr>
              <w:t xml:space="preserve"> </w:t>
            </w:r>
            <w:r>
              <w:rPr>
                <w:sz w:val="18"/>
              </w:rPr>
              <w:t>each</w:t>
            </w:r>
            <w:r>
              <w:rPr>
                <w:spacing w:val="-21"/>
                <w:sz w:val="18"/>
              </w:rPr>
              <w:t xml:space="preserve"> </w:t>
            </w:r>
            <w:r>
              <w:rPr>
                <w:sz w:val="18"/>
              </w:rPr>
              <w:t>section</w:t>
            </w:r>
            <w:r>
              <w:rPr>
                <w:spacing w:val="-21"/>
                <w:sz w:val="18"/>
              </w:rPr>
              <w:t xml:space="preserve"> </w:t>
            </w:r>
            <w:r>
              <w:rPr>
                <w:sz w:val="18"/>
              </w:rPr>
              <w:t>of</w:t>
            </w:r>
            <w:r>
              <w:rPr>
                <w:spacing w:val="-21"/>
                <w:sz w:val="18"/>
              </w:rPr>
              <w:t xml:space="preserve"> </w:t>
            </w:r>
            <w:r>
              <w:rPr>
                <w:sz w:val="18"/>
              </w:rPr>
              <w:t>this</w:t>
            </w:r>
            <w:r>
              <w:rPr>
                <w:spacing w:val="-21"/>
                <w:sz w:val="18"/>
              </w:rPr>
              <w:t xml:space="preserve"> </w:t>
            </w:r>
            <w:r>
              <w:rPr>
                <w:sz w:val="18"/>
              </w:rPr>
              <w:t>form.</w:t>
            </w:r>
          </w:p>
        </w:tc>
        <w:tc>
          <w:tcPr>
            <w:tcW w:w="953" w:type="dxa"/>
            <w:tcBorders>
              <w:left w:val="nil"/>
              <w:bottom w:val="nil"/>
              <w:right w:val="nil"/>
            </w:tcBorders>
          </w:tcPr>
          <w:p>
            <w:pPr>
              <w:pStyle w:val="12"/>
              <w:spacing w:before="21" w:line="249" w:lineRule="auto"/>
              <w:ind w:left="457" w:firstLine="2"/>
              <w:rPr>
                <w:b/>
                <w:sz w:val="20"/>
              </w:rPr>
            </w:pPr>
          </w:p>
        </w:tc>
        <w:tc>
          <w:tcPr>
            <w:tcW w:w="1440" w:type="dxa"/>
            <w:tcBorders>
              <w:left w:val="nil"/>
              <w:bottom w:val="nil"/>
            </w:tcBorders>
          </w:tcPr>
          <w:p>
            <w:pPr>
              <w:pStyle w:val="12"/>
              <w:spacing w:before="10"/>
              <w:ind w:left="393" w:right="379"/>
              <w:jc w:val="center"/>
              <w:rPr>
                <w:b/>
                <w:sz w:val="20"/>
              </w:rPr>
            </w:pPr>
            <w:r>
              <w:rPr>
                <w:b/>
                <w:sz w:val="20"/>
              </w:rPr>
              <w:t>No. of pages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trPr>
        <w:tc>
          <w:tcPr>
            <w:tcW w:w="11100" w:type="dxa"/>
            <w:gridSpan w:val="4"/>
            <w:tcBorders>
              <w:top w:val="nil"/>
              <w:left w:val="nil"/>
              <w:bottom w:val="nil"/>
              <w:right w:val="nil"/>
            </w:tcBorders>
            <w:shd w:val="clear" w:color="auto" w:fill="000000" w:themeFill="text1"/>
          </w:tcPr>
          <w:p>
            <w:pPr>
              <w:pStyle w:val="12"/>
              <w:spacing w:before="151"/>
              <w:ind w:left="148"/>
              <w:rPr>
                <w:b/>
                <w:sz w:val="20"/>
              </w:rPr>
            </w:pPr>
            <w:r>
              <w:rPr>
                <w:b/>
                <w:color w:val="FFFFFF"/>
                <w:sz w:val="20"/>
              </w:rPr>
              <w:t xml:space="preserve">2. </w:t>
            </w:r>
            <w:r>
              <w:rPr>
                <w:b/>
                <w:bCs/>
                <w:color w:val="FFFFFF"/>
                <w:sz w:val="20"/>
                <w:lang w:val="en-GB"/>
              </w:rPr>
              <w:t>DETAILS OF THE MERGER, OWNERSHIP AND CONTROL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2" w:hRule="atLeast"/>
        </w:trPr>
        <w:tc>
          <w:tcPr>
            <w:tcW w:w="720" w:type="dxa"/>
            <w:tcBorders>
              <w:top w:val="nil"/>
              <w:bottom w:val="single" w:color="000000" w:sz="4" w:space="0"/>
              <w:right w:val="nil"/>
            </w:tcBorders>
          </w:tcPr>
          <w:p>
            <w:pPr>
              <w:pStyle w:val="12"/>
              <w:spacing w:before="101"/>
              <w:ind w:left="143"/>
              <w:rPr>
                <w:sz w:val="20"/>
              </w:rPr>
            </w:pPr>
            <w:r>
              <w:rPr>
                <w:sz w:val="20"/>
              </w:rPr>
              <w:t>2.1</w:t>
            </w:r>
          </w:p>
        </w:tc>
        <w:tc>
          <w:tcPr>
            <w:tcW w:w="7987" w:type="dxa"/>
            <w:tcBorders>
              <w:top w:val="nil"/>
              <w:left w:val="nil"/>
              <w:right w:val="nil"/>
            </w:tcBorders>
          </w:tcPr>
          <w:p>
            <w:pPr>
              <w:pStyle w:val="12"/>
              <w:spacing w:before="101"/>
              <w:jc w:val="both"/>
              <w:rPr>
                <w:sz w:val="20"/>
              </w:rPr>
            </w:pPr>
            <w:r>
              <w:rPr>
                <w:sz w:val="20"/>
              </w:rPr>
              <w:t xml:space="preserve"> Please provide description of the nature of the merger being notified. By reference to the provisions of Section 92 (2) of the Act:</w:t>
            </w:r>
          </w:p>
          <w:p>
            <w:pPr>
              <w:pStyle w:val="12"/>
              <w:spacing w:before="101"/>
              <w:ind w:left="77"/>
              <w:jc w:val="both"/>
              <w:rPr>
                <w:sz w:val="20"/>
              </w:rPr>
            </w:pPr>
          </w:p>
        </w:tc>
        <w:tc>
          <w:tcPr>
            <w:tcW w:w="953" w:type="dxa"/>
            <w:tcBorders>
              <w:top w:val="nil"/>
              <w:left w:val="nil"/>
              <w:right w:val="nil"/>
            </w:tcBorders>
          </w:tcPr>
          <w:p>
            <w:pPr>
              <w:pStyle w:val="12"/>
              <w:rPr>
                <w:rFonts w:ascii="Times New Roman"/>
                <w:sz w:val="18"/>
              </w:rPr>
            </w:pPr>
          </w:p>
        </w:tc>
        <w:tc>
          <w:tcPr>
            <w:tcW w:w="1440" w:type="dxa"/>
            <w:tcBorders>
              <w:top w:val="nil"/>
              <w:left w:val="nil"/>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2" w:hRule="atLeast"/>
        </w:trPr>
        <w:tc>
          <w:tcPr>
            <w:tcW w:w="720" w:type="dxa"/>
            <w:tcBorders>
              <w:top w:val="single" w:color="000000" w:sz="4" w:space="0"/>
              <w:right w:val="single" w:color="auto" w:sz="4" w:space="0"/>
            </w:tcBorders>
          </w:tcPr>
          <w:p>
            <w:pPr>
              <w:pStyle w:val="12"/>
              <w:spacing w:before="101"/>
              <w:ind w:left="143"/>
              <w:rPr>
                <w:sz w:val="20"/>
              </w:rPr>
            </w:pPr>
            <w:r>
              <w:rPr>
                <w:sz w:val="20"/>
              </w:rPr>
              <w:t>2.2</w:t>
            </w:r>
          </w:p>
        </w:tc>
        <w:tc>
          <w:tcPr>
            <w:tcW w:w="7987" w:type="dxa"/>
            <w:tcBorders>
              <w:top w:val="nil"/>
              <w:left w:val="single" w:color="auto" w:sz="4" w:space="0"/>
              <w:right w:val="nil"/>
            </w:tcBorders>
          </w:tcPr>
          <w:p>
            <w:pPr>
              <w:pStyle w:val="12"/>
              <w:spacing w:before="101"/>
              <w:jc w:val="both"/>
              <w:rPr>
                <w:sz w:val="20"/>
              </w:rPr>
            </w:pPr>
            <w:r>
              <w:rPr>
                <w:sz w:val="20"/>
              </w:rPr>
              <w:t>Indicate the undertakings or persons solely or jointly controlling each of the undertakings concerned, directly or indirectly, and describe the structure of ownership and control of each of the undertakings concerned before the completion of the merger; </w:t>
            </w:r>
          </w:p>
          <w:p>
            <w:pPr>
              <w:pStyle w:val="12"/>
              <w:spacing w:before="101"/>
              <w:jc w:val="both"/>
              <w:rPr>
                <w:sz w:val="20"/>
              </w:rPr>
            </w:pPr>
          </w:p>
        </w:tc>
        <w:tc>
          <w:tcPr>
            <w:tcW w:w="953" w:type="dxa"/>
            <w:tcBorders>
              <w:top w:val="nil"/>
              <w:left w:val="nil"/>
              <w:bottom w:val="single" w:color="000000" w:sz="4" w:space="0"/>
              <w:right w:val="nil"/>
            </w:tcBorders>
          </w:tcPr>
          <w:p>
            <w:pPr>
              <w:pStyle w:val="12"/>
              <w:rPr>
                <w:rFonts w:ascii="Times New Roman"/>
                <w:sz w:val="18"/>
              </w:rPr>
            </w:pPr>
          </w:p>
        </w:tc>
        <w:tc>
          <w:tcPr>
            <w:tcW w:w="1440" w:type="dxa"/>
            <w:tcBorders>
              <w:top w:val="nil"/>
              <w:left w:val="nil"/>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7" w:hRule="atLeast"/>
        </w:trPr>
        <w:tc>
          <w:tcPr>
            <w:tcW w:w="720" w:type="dxa"/>
          </w:tcPr>
          <w:p>
            <w:pPr>
              <w:pStyle w:val="12"/>
              <w:spacing w:before="101"/>
              <w:ind w:left="143"/>
              <w:rPr>
                <w:sz w:val="20"/>
              </w:rPr>
            </w:pPr>
            <w:r>
              <w:rPr>
                <w:sz w:val="20"/>
              </w:rPr>
              <w:t>2.3</w:t>
            </w:r>
          </w:p>
        </w:tc>
        <w:tc>
          <w:tcPr>
            <w:tcW w:w="7987" w:type="dxa"/>
            <w:tcBorders>
              <w:right w:val="nil"/>
            </w:tcBorders>
          </w:tcPr>
          <w:p>
            <w:pPr>
              <w:pStyle w:val="12"/>
              <w:spacing w:before="101"/>
              <w:jc w:val="both"/>
              <w:rPr>
                <w:sz w:val="20"/>
              </w:rPr>
            </w:pPr>
            <w:r>
              <w:rPr>
                <w:sz w:val="20"/>
              </w:rPr>
              <w:t>please indicate whether the proposed merger is:</w:t>
            </w:r>
          </w:p>
          <w:p>
            <w:pPr>
              <w:pStyle w:val="12"/>
              <w:numPr>
                <w:numId w:val="0"/>
              </w:numPr>
              <w:spacing w:before="101"/>
              <w:ind w:left="500" w:hanging="500" w:hangingChars="250"/>
              <w:jc w:val="both"/>
              <w:rPr>
                <w:sz w:val="20"/>
              </w:rPr>
            </w:pPr>
            <w:r>
              <w:rPr>
                <w:sz w:val="20"/>
              </w:rPr>
              <w:t xml:space="preserve">  </w:t>
            </w:r>
            <w:r>
              <w:rPr>
                <w:sz w:val="20"/>
              </w:rPr>
              <w:drawing>
                <wp:inline distT="0" distB="0" distL="0" distR="0">
                  <wp:extent cx="133985" cy="133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3985" cy="133985"/>
                          </a:xfrm>
                          <a:prstGeom prst="rect">
                            <a:avLst/>
                          </a:prstGeom>
                          <a:noFill/>
                        </pic:spPr>
                      </pic:pic>
                    </a:graphicData>
                  </a:graphic>
                </wp:inline>
              </w:drawing>
            </w:r>
            <w:r>
              <w:rPr>
                <w:sz w:val="20"/>
              </w:rPr>
              <w:t xml:space="preserve">  a purchase or lease of the shares, and interests or assets of the other undertaking in question;</w:t>
            </w:r>
          </w:p>
          <w:p>
            <w:pPr>
              <w:pStyle w:val="12"/>
              <w:numPr>
                <w:numId w:val="0"/>
              </w:numPr>
              <w:spacing w:before="101"/>
              <w:jc w:val="both"/>
              <w:rPr>
                <w:sz w:val="20"/>
              </w:rPr>
            </w:pPr>
          </w:p>
          <w:p>
            <w:pPr>
              <w:pStyle w:val="12"/>
              <w:numPr>
                <w:numId w:val="0"/>
              </w:numPr>
              <w:spacing w:before="101"/>
              <w:ind w:firstLine="100" w:firstLineChars="50"/>
              <w:jc w:val="both"/>
              <w:rPr>
                <w:sz w:val="20"/>
              </w:rPr>
            </w:pPr>
            <w:r>
              <w:rPr>
                <w:sz w:val="20"/>
              </w:rPr>
              <w:t xml:space="preserve"> </w:t>
            </w:r>
            <w:r>
              <w:rPr>
                <w:sz w:val="20"/>
              </w:rPr>
              <w:drawing>
                <wp:inline distT="0" distB="0" distL="0" distR="0">
                  <wp:extent cx="133985" cy="133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3985" cy="133985"/>
                          </a:xfrm>
                          <a:prstGeom prst="rect">
                            <a:avLst/>
                          </a:prstGeom>
                          <a:noFill/>
                        </pic:spPr>
                      </pic:pic>
                    </a:graphicData>
                  </a:graphic>
                </wp:inline>
              </w:drawing>
            </w:r>
            <w:bookmarkStart w:id="0" w:name="_GoBack"/>
            <w:bookmarkEnd w:id="0"/>
            <w:r>
              <w:rPr>
                <w:sz w:val="20"/>
              </w:rPr>
              <w:t xml:space="preserve">    the amalgamation or other combination with the other undertaking in question;</w:t>
            </w:r>
          </w:p>
          <w:p>
            <w:pPr>
              <w:pStyle w:val="12"/>
              <w:numPr>
                <w:ilvl w:val="0"/>
                <w:numId w:val="3"/>
              </w:numPr>
              <w:spacing w:before="101"/>
              <w:jc w:val="both"/>
              <w:rPr>
                <w:sz w:val="20"/>
              </w:rPr>
            </w:pPr>
            <w:r>
              <w:rPr>
                <w:sz w:val="20"/>
              </w:rPr>
              <w:t>a joint venture.</w:t>
            </w:r>
          </w:p>
          <w:p>
            <w:pPr>
              <w:pStyle w:val="12"/>
              <w:spacing w:before="101"/>
              <w:ind w:left="72"/>
              <w:jc w:val="both"/>
              <w:rPr>
                <w:sz w:val="20"/>
              </w:rPr>
            </w:pPr>
          </w:p>
        </w:tc>
        <w:tc>
          <w:tcPr>
            <w:tcW w:w="953" w:type="dxa"/>
            <w:tcBorders>
              <w:left w:val="nil"/>
              <w:bottom w:val="single" w:color="000000" w:sz="4" w:space="0"/>
            </w:tcBorders>
          </w:tcPr>
          <w:p>
            <w:pPr>
              <w:pStyle w:val="12"/>
              <w:rPr>
                <w:rFonts w:ascii="Times New Roman"/>
                <w:sz w:val="18"/>
              </w:rPr>
            </w:pPr>
          </w:p>
        </w:tc>
        <w:tc>
          <w:tcPr>
            <w:tcW w:w="1440" w:type="dxa"/>
            <w:tcBorders>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720" w:type="dxa"/>
          </w:tcPr>
          <w:p>
            <w:pPr>
              <w:pStyle w:val="12"/>
              <w:spacing w:before="101"/>
              <w:ind w:left="143"/>
              <w:rPr>
                <w:sz w:val="20"/>
              </w:rPr>
            </w:pPr>
            <w:r>
              <w:rPr>
                <w:sz w:val="20"/>
              </w:rPr>
              <w:t>2.4</w:t>
            </w:r>
          </w:p>
        </w:tc>
        <w:tc>
          <w:tcPr>
            <w:tcW w:w="7987" w:type="dxa"/>
            <w:tcBorders>
              <w:right w:val="nil"/>
            </w:tcBorders>
          </w:tcPr>
          <w:p>
            <w:pPr>
              <w:pStyle w:val="12"/>
              <w:spacing w:before="101" w:line="249" w:lineRule="auto"/>
              <w:ind w:right="274"/>
              <w:jc w:val="both"/>
              <w:rPr>
                <w:w w:val="95"/>
                <w:sz w:val="20"/>
              </w:rPr>
            </w:pPr>
            <w:r>
              <w:rPr>
                <w:w w:val="95"/>
                <w:sz w:val="20"/>
              </w:rPr>
              <w:t>Provide brief explanation on how the merger will be implemented (for example by conclusion of an agreement.</w:t>
            </w:r>
          </w:p>
          <w:p>
            <w:pPr>
              <w:pStyle w:val="12"/>
              <w:spacing w:before="101" w:line="249" w:lineRule="auto"/>
              <w:ind w:left="72" w:right="274"/>
              <w:jc w:val="both"/>
              <w:rPr>
                <w:sz w:val="20"/>
              </w:rPr>
            </w:pPr>
          </w:p>
        </w:tc>
        <w:tc>
          <w:tcPr>
            <w:tcW w:w="953" w:type="dxa"/>
            <w:tcBorders>
              <w:left w:val="nil"/>
              <w:bottom w:val="single" w:color="000000" w:sz="4" w:space="0"/>
            </w:tcBorders>
          </w:tcPr>
          <w:p>
            <w:pPr>
              <w:pStyle w:val="12"/>
              <w:rPr>
                <w:rFonts w:ascii="Times New Roman"/>
                <w:sz w:val="18"/>
              </w:rPr>
            </w:pPr>
            <w:r>
              <w:rPr>
                <w:rFonts w:ascii="Times New Roman"/>
                <w:sz w:val="18"/>
              </w:rPr>
              <w:t xml:space="preserve">   </w:t>
            </w:r>
          </w:p>
          <w:p>
            <w:pPr>
              <w:pStyle w:val="12"/>
              <w:rPr>
                <w:rFonts w:ascii="Times New Roman"/>
                <w:sz w:val="18"/>
              </w:rPr>
            </w:pPr>
          </w:p>
        </w:tc>
        <w:tc>
          <w:tcPr>
            <w:tcW w:w="1440" w:type="dxa"/>
            <w:tcBorders>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720" w:type="dxa"/>
          </w:tcPr>
          <w:p>
            <w:pPr>
              <w:pStyle w:val="12"/>
              <w:spacing w:before="101"/>
              <w:ind w:left="143"/>
              <w:rPr>
                <w:sz w:val="20"/>
              </w:rPr>
            </w:pPr>
            <w:r>
              <w:rPr>
                <w:sz w:val="20"/>
              </w:rPr>
              <w:t>2.5</w:t>
            </w:r>
          </w:p>
        </w:tc>
        <w:tc>
          <w:tcPr>
            <w:tcW w:w="7987" w:type="dxa"/>
            <w:tcBorders>
              <w:right w:val="nil"/>
            </w:tcBorders>
          </w:tcPr>
          <w:p>
            <w:pPr>
              <w:pStyle w:val="12"/>
              <w:spacing w:before="101" w:line="249" w:lineRule="auto"/>
              <w:ind w:right="592"/>
              <w:jc w:val="both"/>
              <w:rPr>
                <w:sz w:val="20"/>
              </w:rPr>
            </w:pPr>
            <w:r>
              <w:rPr>
                <w:sz w:val="20"/>
              </w:rPr>
              <w:t>Timing: specify the expected time scale for exchange of contracts and completion of the merger; </w:t>
            </w:r>
          </w:p>
          <w:p>
            <w:pPr>
              <w:pStyle w:val="12"/>
              <w:spacing w:before="101" w:line="249" w:lineRule="auto"/>
              <w:ind w:left="72" w:right="592"/>
              <w:jc w:val="both"/>
              <w:rPr>
                <w:sz w:val="20"/>
              </w:rPr>
            </w:pPr>
          </w:p>
          <w:p>
            <w:pPr>
              <w:pStyle w:val="12"/>
              <w:spacing w:before="101" w:line="249" w:lineRule="auto"/>
              <w:ind w:left="72" w:right="592"/>
              <w:jc w:val="both"/>
              <w:rPr>
                <w:sz w:val="20"/>
              </w:rPr>
            </w:pPr>
          </w:p>
        </w:tc>
        <w:tc>
          <w:tcPr>
            <w:tcW w:w="953" w:type="dxa"/>
            <w:tcBorders>
              <w:left w:val="nil"/>
              <w:bottom w:val="single" w:color="000000" w:sz="4" w:space="0"/>
            </w:tcBorders>
          </w:tcPr>
          <w:p>
            <w:pPr>
              <w:pStyle w:val="12"/>
              <w:rPr>
                <w:rFonts w:ascii="Times New Roman"/>
                <w:sz w:val="18"/>
              </w:rPr>
            </w:pPr>
          </w:p>
        </w:tc>
        <w:tc>
          <w:tcPr>
            <w:tcW w:w="1440" w:type="dxa"/>
            <w:tcBorders>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720" w:type="dxa"/>
          </w:tcPr>
          <w:p>
            <w:pPr>
              <w:pStyle w:val="12"/>
              <w:spacing w:before="101"/>
              <w:ind w:left="143"/>
              <w:rPr>
                <w:sz w:val="20"/>
              </w:rPr>
            </w:pPr>
            <w:r>
              <w:rPr>
                <w:sz w:val="20"/>
              </w:rPr>
              <w:t>2.6</w:t>
            </w:r>
          </w:p>
        </w:tc>
        <w:tc>
          <w:tcPr>
            <w:tcW w:w="7987" w:type="dxa"/>
            <w:tcBorders>
              <w:right w:val="nil"/>
            </w:tcBorders>
          </w:tcPr>
          <w:p>
            <w:pPr>
              <w:pStyle w:val="12"/>
              <w:spacing w:before="101" w:line="249" w:lineRule="auto"/>
              <w:ind w:right="780"/>
              <w:jc w:val="both"/>
              <w:rPr>
                <w:sz w:val="20"/>
              </w:rPr>
            </w:pPr>
            <w:r>
              <w:rPr>
                <w:sz w:val="20"/>
              </w:rPr>
              <w:t>Disclose which of the following have taken place at the time of notification: </w:t>
            </w:r>
          </w:p>
          <w:p>
            <w:pPr>
              <w:pStyle w:val="12"/>
              <w:numPr>
                <w:ilvl w:val="1"/>
                <w:numId w:val="4"/>
              </w:numPr>
              <w:spacing w:before="101" w:line="249" w:lineRule="auto"/>
              <w:ind w:right="780"/>
              <w:jc w:val="both"/>
              <w:rPr>
                <w:sz w:val="20"/>
              </w:rPr>
            </w:pPr>
            <w:r>
              <w:rPr>
                <w:sz w:val="20"/>
              </w:rPr>
              <w:pict>
                <v:shape id="_x0000_i1025" o:spt="75" type="#_x0000_t75" style="height:10.5pt;width:10.5pt;" filled="f" coordsize="21600,21600">
                  <v:path/>
                  <v:fill on="f" focussize="0,0"/>
                  <v:stroke/>
                  <v:imagedata r:id="rId6" o:title=""/>
                  <o:lock v:ext="edit" aspectratio="t"/>
                  <w10:wrap type="none"/>
                  <w10:anchorlock/>
                </v:shape>
              </w:pict>
            </w:r>
            <w:r>
              <w:rPr>
                <w:sz w:val="20"/>
              </w:rPr>
              <w:t xml:space="preserve">   an agreement has been concluded;</w:t>
            </w:r>
          </w:p>
          <w:p>
            <w:pPr>
              <w:pStyle w:val="12"/>
              <w:numPr>
                <w:ilvl w:val="1"/>
                <w:numId w:val="4"/>
              </w:numPr>
              <w:spacing w:before="101" w:line="249" w:lineRule="auto"/>
              <w:ind w:right="780"/>
              <w:jc w:val="both"/>
              <w:rPr>
                <w:sz w:val="20"/>
              </w:rPr>
            </w:pPr>
            <w:r>
              <w:rPr>
                <w:sz w:val="20"/>
              </w:rPr>
              <w:pict>
                <v:shape id="_x0000_i1026" o:spt="75" type="#_x0000_t75" style="height:10.5pt;width:10.5pt;" filled="f" coordsize="21600,21600">
                  <v:path/>
                  <v:fill on="f" focussize="0,0"/>
                  <v:stroke/>
                  <v:imagedata r:id="rId6" o:title=""/>
                  <o:lock v:ext="edit" aspectratio="t"/>
                  <w10:wrap type="none"/>
                  <w10:anchorlock/>
                </v:shape>
              </w:pict>
            </w:r>
            <w:r>
              <w:rPr>
                <w:sz w:val="20"/>
              </w:rPr>
              <w:t xml:space="preserve">   a controlling interest has been acquired;</w:t>
            </w:r>
          </w:p>
          <w:p>
            <w:pPr>
              <w:pStyle w:val="12"/>
              <w:numPr>
                <w:ilvl w:val="1"/>
                <w:numId w:val="4"/>
              </w:numPr>
              <w:spacing w:before="101" w:line="249" w:lineRule="auto"/>
              <w:ind w:right="780"/>
              <w:jc w:val="both"/>
              <w:rPr>
                <w:sz w:val="20"/>
              </w:rPr>
            </w:pPr>
            <w:r>
              <w:rPr>
                <w:sz w:val="20"/>
              </w:rPr>
              <w:pict>
                <v:shape id="_x0000_i1027" o:spt="75" type="#_x0000_t75" style="height:10.5pt;width:10.5pt;" filled="f" coordsize="21600,21600">
                  <v:path/>
                  <v:fill on="f" focussize="0,0"/>
                  <v:stroke/>
                  <v:imagedata r:id="rId6" o:title=""/>
                  <o:lock v:ext="edit" aspectratio="t"/>
                  <w10:wrap type="none"/>
                  <w10:anchorlock/>
                </v:shape>
              </w:pict>
            </w:r>
            <w:r>
              <w:rPr>
                <w:sz w:val="20"/>
              </w:rPr>
              <w:t xml:space="preserve">   the intention to launch has been announced, or;</w:t>
            </w:r>
          </w:p>
          <w:p>
            <w:pPr>
              <w:pStyle w:val="12"/>
              <w:spacing w:before="101" w:line="249" w:lineRule="auto"/>
              <w:ind w:left="376" w:right="780" w:hanging="376"/>
              <w:jc w:val="both"/>
              <w:rPr>
                <w:sz w:val="20"/>
              </w:rPr>
            </w:pPr>
            <w:r>
              <w:pict>
                <v:shape id="_x0000_i1028" o:spt="75" type="#_x0000_t75" style="height:10.5pt;width:10.5pt;" filled="f" coordsize="21600,21600">
                  <v:path/>
                  <v:fill on="f" focussize="0,0"/>
                  <v:stroke/>
                  <v:imagedata r:id="rId6" o:title=""/>
                  <o:lock v:ext="edit" aspectratio="t"/>
                  <w10:wrap type="none"/>
                  <w10:anchorlock/>
                </v:shape>
              </w:pict>
            </w:r>
            <w:r>
              <w:rPr>
                <w:sz w:val="20"/>
              </w:rPr>
              <w:t xml:space="preserve">   the undertakings concerned have demonstrated a good faith intention          to conclude an agreement, including the signing of a Memorandum of Understanding or and a Letter of intent or other pre- substantive agreement.</w:t>
            </w:r>
          </w:p>
          <w:p>
            <w:pPr>
              <w:pStyle w:val="12"/>
              <w:spacing w:before="101" w:line="249" w:lineRule="auto"/>
              <w:ind w:left="72" w:right="780"/>
              <w:jc w:val="both"/>
              <w:rPr>
                <w:sz w:val="20"/>
              </w:rPr>
            </w:pPr>
          </w:p>
        </w:tc>
        <w:tc>
          <w:tcPr>
            <w:tcW w:w="953" w:type="dxa"/>
            <w:tcBorders>
              <w:left w:val="nil"/>
              <w:bottom w:val="single" w:color="000000" w:sz="4" w:space="0"/>
            </w:tcBorders>
          </w:tcPr>
          <w:p>
            <w:pPr>
              <w:pStyle w:val="12"/>
              <w:rPr>
                <w:rFonts w:ascii="Times New Roman"/>
                <w:sz w:val="18"/>
              </w:rPr>
            </w:pPr>
          </w:p>
        </w:tc>
        <w:tc>
          <w:tcPr>
            <w:tcW w:w="1440" w:type="dxa"/>
            <w:tcBorders>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ind w:left="143"/>
              <w:rPr>
                <w:sz w:val="20"/>
              </w:rPr>
            </w:pPr>
            <w:r>
              <w:rPr>
                <w:sz w:val="20"/>
              </w:rPr>
              <w:t>2.7</w:t>
            </w:r>
          </w:p>
        </w:tc>
        <w:tc>
          <w:tcPr>
            <w:tcW w:w="7987" w:type="dxa"/>
            <w:tcBorders>
              <w:bottom w:val="single" w:color="000000" w:sz="4" w:space="0"/>
              <w:right w:val="nil"/>
            </w:tcBorders>
          </w:tcPr>
          <w:p>
            <w:pPr>
              <w:pStyle w:val="12"/>
              <w:spacing w:before="101"/>
              <w:jc w:val="both"/>
              <w:rPr>
                <w:sz w:val="20"/>
              </w:rPr>
            </w:pPr>
            <w:r>
              <w:rPr>
                <w:sz w:val="20"/>
              </w:rPr>
              <w:t xml:space="preserve"> Indicate the expected date of any major events designed to bring about the completion of the merger;</w:t>
            </w:r>
          </w:p>
          <w:p>
            <w:pPr>
              <w:pStyle w:val="12"/>
              <w:spacing w:before="101"/>
              <w:ind w:left="72"/>
              <w:jc w:val="both"/>
              <w:rPr>
                <w:sz w:val="20"/>
              </w:rPr>
            </w:pPr>
          </w:p>
        </w:tc>
        <w:tc>
          <w:tcPr>
            <w:tcW w:w="953" w:type="dxa"/>
            <w:tcBorders>
              <w:left w:val="nil"/>
            </w:tcBorders>
          </w:tcPr>
          <w:p>
            <w:pPr>
              <w:pStyle w:val="12"/>
              <w:rPr>
                <w:rFonts w:ascii="Times New Roman"/>
                <w:sz w:val="18"/>
              </w:rPr>
            </w:pPr>
          </w:p>
        </w:tc>
        <w:tc>
          <w:tcPr>
            <w:tcW w:w="1440" w:type="dxa"/>
            <w:tcBorders>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720" w:type="dxa"/>
            <w:tcBorders>
              <w:bottom w:val="nil"/>
              <w:right w:val="single" w:color="auto" w:sz="4" w:space="0"/>
            </w:tcBorders>
          </w:tcPr>
          <w:p>
            <w:pPr>
              <w:pStyle w:val="12"/>
              <w:spacing w:before="101"/>
              <w:ind w:left="143"/>
              <w:rPr>
                <w:sz w:val="20"/>
              </w:rPr>
            </w:pPr>
            <w:r>
              <w:rPr>
                <w:sz w:val="20"/>
              </w:rPr>
              <w:t>2.8</w:t>
            </w:r>
          </w:p>
        </w:tc>
        <w:tc>
          <w:tcPr>
            <w:tcW w:w="7987" w:type="dxa"/>
            <w:tcBorders>
              <w:left w:val="single" w:color="auto" w:sz="4" w:space="0"/>
              <w:bottom w:val="nil"/>
              <w:right w:val="nil"/>
            </w:tcBorders>
          </w:tcPr>
          <w:p>
            <w:pPr>
              <w:pStyle w:val="12"/>
              <w:spacing w:before="101" w:line="249" w:lineRule="auto"/>
              <w:ind w:right="309"/>
              <w:jc w:val="both"/>
              <w:rPr>
                <w:sz w:val="20"/>
              </w:rPr>
            </w:pPr>
            <w:r>
              <w:rPr>
                <w:sz w:val="20"/>
              </w:rPr>
              <w:t>Specify the structure of ownership and control of each of the undertakings concerned after the completion of the merger;</w:t>
            </w:r>
          </w:p>
          <w:p>
            <w:pPr>
              <w:pStyle w:val="12"/>
              <w:spacing w:before="101" w:line="249" w:lineRule="auto"/>
              <w:ind w:left="77" w:right="309"/>
              <w:jc w:val="both"/>
              <w:rPr>
                <w:sz w:val="20"/>
              </w:rPr>
            </w:pPr>
          </w:p>
        </w:tc>
        <w:tc>
          <w:tcPr>
            <w:tcW w:w="953" w:type="dxa"/>
            <w:tcBorders>
              <w:left w:val="nil"/>
              <w:bottom w:val="nil"/>
              <w:right w:val="single" w:color="auto" w:sz="4" w:space="0"/>
            </w:tcBorders>
          </w:tcPr>
          <w:p>
            <w:pPr>
              <w:pStyle w:val="12"/>
              <w:rPr>
                <w:rFonts w:ascii="Times New Roman"/>
                <w:sz w:val="18"/>
              </w:rPr>
            </w:pPr>
          </w:p>
        </w:tc>
        <w:tc>
          <w:tcPr>
            <w:tcW w:w="1440" w:type="dxa"/>
            <w:tcBorders>
              <w:left w:val="single" w:color="auto" w:sz="4" w:space="0"/>
              <w:bottom w:val="nil"/>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720" w:type="dxa"/>
            <w:tcBorders>
              <w:bottom w:val="nil"/>
              <w:right w:val="single" w:color="auto" w:sz="4" w:space="0"/>
            </w:tcBorders>
          </w:tcPr>
          <w:p>
            <w:pPr>
              <w:pStyle w:val="12"/>
              <w:spacing w:before="101"/>
              <w:ind w:left="143"/>
              <w:rPr>
                <w:sz w:val="20"/>
              </w:rPr>
            </w:pPr>
            <w:r>
              <w:rPr>
                <w:sz w:val="20"/>
              </w:rPr>
              <w:t xml:space="preserve">2.9 </w:t>
            </w:r>
          </w:p>
        </w:tc>
        <w:tc>
          <w:tcPr>
            <w:tcW w:w="7987" w:type="dxa"/>
            <w:tcBorders>
              <w:left w:val="single" w:color="auto" w:sz="4" w:space="0"/>
              <w:bottom w:val="nil"/>
              <w:right w:val="nil"/>
            </w:tcBorders>
          </w:tcPr>
          <w:p>
            <w:pPr>
              <w:pStyle w:val="12"/>
              <w:spacing w:before="101" w:line="249" w:lineRule="auto"/>
              <w:ind w:right="309"/>
              <w:jc w:val="both"/>
              <w:rPr>
                <w:sz w:val="20"/>
              </w:rPr>
            </w:pPr>
            <w:r>
              <w:rPr>
                <w:sz w:val="20"/>
              </w:rPr>
              <w:t>Describe the strategic and economic rationale/justification of the merger as it affects Nigerian markets;</w:t>
            </w:r>
          </w:p>
          <w:p>
            <w:pPr>
              <w:pStyle w:val="12"/>
              <w:spacing w:before="101" w:line="249" w:lineRule="auto"/>
              <w:ind w:right="309"/>
              <w:jc w:val="both"/>
              <w:rPr>
                <w:sz w:val="20"/>
              </w:rPr>
            </w:pPr>
          </w:p>
        </w:tc>
        <w:tc>
          <w:tcPr>
            <w:tcW w:w="953" w:type="dxa"/>
            <w:tcBorders>
              <w:left w:val="nil"/>
              <w:bottom w:val="nil"/>
              <w:right w:val="single" w:color="auto" w:sz="4" w:space="0"/>
            </w:tcBorders>
          </w:tcPr>
          <w:p>
            <w:pPr>
              <w:pStyle w:val="12"/>
              <w:rPr>
                <w:rFonts w:ascii="Times New Roman"/>
                <w:sz w:val="18"/>
              </w:rPr>
            </w:pPr>
          </w:p>
        </w:tc>
        <w:tc>
          <w:tcPr>
            <w:tcW w:w="1440" w:type="dxa"/>
            <w:tcBorders>
              <w:left w:val="single" w:color="auto" w:sz="4" w:space="0"/>
              <w:bottom w:val="nil"/>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720" w:type="dxa"/>
            <w:tcBorders>
              <w:bottom w:val="nil"/>
              <w:right w:val="single" w:color="auto" w:sz="4" w:space="0"/>
            </w:tcBorders>
          </w:tcPr>
          <w:p>
            <w:pPr>
              <w:pStyle w:val="12"/>
              <w:spacing w:before="101"/>
              <w:ind w:left="143"/>
              <w:rPr>
                <w:sz w:val="20"/>
              </w:rPr>
            </w:pPr>
            <w:r>
              <w:rPr>
                <w:sz w:val="20"/>
              </w:rPr>
              <w:t xml:space="preserve">2.10 </w:t>
            </w:r>
          </w:p>
        </w:tc>
        <w:tc>
          <w:tcPr>
            <w:tcW w:w="7987" w:type="dxa"/>
            <w:tcBorders>
              <w:left w:val="single" w:color="auto" w:sz="4" w:space="0"/>
              <w:bottom w:val="nil"/>
              <w:right w:val="nil"/>
            </w:tcBorders>
          </w:tcPr>
          <w:p>
            <w:pPr>
              <w:pStyle w:val="12"/>
              <w:spacing w:before="101" w:line="249" w:lineRule="auto"/>
              <w:ind w:right="309"/>
              <w:jc w:val="both"/>
              <w:rPr>
                <w:sz w:val="20"/>
              </w:rPr>
            </w:pPr>
            <w:r>
              <w:rPr>
                <w:sz w:val="20"/>
              </w:rPr>
              <w:t>State the value of the transaction (the purchase price (or the value of all the assets involved, as the case may be); specify whether this is in the form of equity, cash, or other assets);</w:t>
            </w:r>
          </w:p>
          <w:p>
            <w:pPr>
              <w:pStyle w:val="12"/>
              <w:spacing w:before="101" w:line="249" w:lineRule="auto"/>
              <w:ind w:right="309"/>
              <w:jc w:val="both"/>
              <w:rPr>
                <w:sz w:val="20"/>
              </w:rPr>
            </w:pPr>
          </w:p>
        </w:tc>
        <w:tc>
          <w:tcPr>
            <w:tcW w:w="953" w:type="dxa"/>
            <w:tcBorders>
              <w:left w:val="nil"/>
              <w:bottom w:val="nil"/>
              <w:right w:val="single" w:color="auto" w:sz="4" w:space="0"/>
            </w:tcBorders>
          </w:tcPr>
          <w:p>
            <w:pPr>
              <w:pStyle w:val="12"/>
              <w:rPr>
                <w:rFonts w:ascii="Times New Roman"/>
                <w:sz w:val="18"/>
              </w:rPr>
            </w:pPr>
          </w:p>
        </w:tc>
        <w:tc>
          <w:tcPr>
            <w:tcW w:w="1440" w:type="dxa"/>
            <w:tcBorders>
              <w:left w:val="single" w:color="auto" w:sz="4" w:space="0"/>
              <w:bottom w:val="nil"/>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720" w:type="dxa"/>
            <w:tcBorders>
              <w:bottom w:val="nil"/>
              <w:right w:val="single" w:color="auto" w:sz="4" w:space="0"/>
            </w:tcBorders>
          </w:tcPr>
          <w:p>
            <w:pPr>
              <w:pStyle w:val="12"/>
              <w:spacing w:before="101"/>
              <w:ind w:left="143"/>
              <w:rPr>
                <w:sz w:val="20"/>
              </w:rPr>
            </w:pPr>
            <w:r>
              <w:rPr>
                <w:sz w:val="20"/>
              </w:rPr>
              <w:t>2.11</w:t>
            </w:r>
          </w:p>
        </w:tc>
        <w:tc>
          <w:tcPr>
            <w:tcW w:w="7987" w:type="dxa"/>
            <w:tcBorders>
              <w:left w:val="single" w:color="auto" w:sz="4" w:space="0"/>
              <w:bottom w:val="nil"/>
              <w:right w:val="nil"/>
            </w:tcBorders>
          </w:tcPr>
          <w:p>
            <w:pPr>
              <w:pStyle w:val="12"/>
              <w:spacing w:before="101" w:line="249" w:lineRule="auto"/>
              <w:ind w:right="309"/>
              <w:jc w:val="both"/>
              <w:rPr>
                <w:sz w:val="20"/>
              </w:rPr>
            </w:pPr>
            <w:r>
              <w:rPr>
                <w:sz w:val="20"/>
              </w:rPr>
              <w:t>For the parties to the merger (other than the seller) provide a list of all other undertakings which are active in Nigeria or have a turnover element in Nigeria in which the undertakings, or persons, hold individually or collectively any voting rights, issued share capital or other securities, identifying the holder and stating the percentage held; and </w:t>
            </w:r>
          </w:p>
          <w:p>
            <w:pPr>
              <w:pStyle w:val="12"/>
              <w:spacing w:before="101" w:line="249" w:lineRule="auto"/>
              <w:ind w:right="309"/>
              <w:jc w:val="both"/>
              <w:rPr>
                <w:sz w:val="20"/>
              </w:rPr>
            </w:pPr>
          </w:p>
        </w:tc>
        <w:tc>
          <w:tcPr>
            <w:tcW w:w="953" w:type="dxa"/>
            <w:tcBorders>
              <w:left w:val="nil"/>
              <w:bottom w:val="nil"/>
              <w:right w:val="single" w:color="auto" w:sz="4" w:space="0"/>
            </w:tcBorders>
          </w:tcPr>
          <w:p>
            <w:pPr>
              <w:pStyle w:val="12"/>
              <w:rPr>
                <w:rFonts w:ascii="Times New Roman"/>
                <w:sz w:val="18"/>
              </w:rPr>
            </w:pPr>
          </w:p>
        </w:tc>
        <w:tc>
          <w:tcPr>
            <w:tcW w:w="1440" w:type="dxa"/>
            <w:tcBorders>
              <w:left w:val="single" w:color="auto" w:sz="4" w:space="0"/>
              <w:bottom w:val="nil"/>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720" w:type="dxa"/>
            <w:tcBorders>
              <w:bottom w:val="nil"/>
              <w:right w:val="single" w:color="auto" w:sz="4" w:space="0"/>
            </w:tcBorders>
          </w:tcPr>
          <w:p>
            <w:pPr>
              <w:pStyle w:val="12"/>
              <w:spacing w:before="101"/>
              <w:ind w:left="143"/>
              <w:rPr>
                <w:sz w:val="20"/>
              </w:rPr>
            </w:pPr>
            <w:r>
              <w:rPr>
                <w:sz w:val="20"/>
              </w:rPr>
              <w:t>2.12</w:t>
            </w:r>
          </w:p>
        </w:tc>
        <w:tc>
          <w:tcPr>
            <w:tcW w:w="7987" w:type="dxa"/>
            <w:tcBorders>
              <w:left w:val="single" w:color="auto" w:sz="4" w:space="0"/>
              <w:bottom w:val="nil"/>
              <w:right w:val="nil"/>
            </w:tcBorders>
          </w:tcPr>
          <w:p>
            <w:pPr>
              <w:pStyle w:val="12"/>
              <w:spacing w:before="101" w:line="249" w:lineRule="auto"/>
              <w:ind w:right="309"/>
              <w:jc w:val="both"/>
              <w:rPr>
                <w:sz w:val="20"/>
              </w:rPr>
            </w:pPr>
            <w:r>
              <w:rPr>
                <w:sz w:val="20"/>
              </w:rPr>
              <w:t>Provide details of whether the merger is being notified in any other jurisdictions and, if so, whether the merger parties are willing to offer a waiver to support coordination between the Commission and the competition authorities in those jurisdictions with foreign components.</w:t>
            </w:r>
          </w:p>
          <w:p>
            <w:pPr>
              <w:pStyle w:val="12"/>
              <w:spacing w:before="101" w:line="249" w:lineRule="auto"/>
              <w:ind w:right="309"/>
              <w:rPr>
                <w:sz w:val="20"/>
              </w:rPr>
            </w:pPr>
          </w:p>
        </w:tc>
        <w:tc>
          <w:tcPr>
            <w:tcW w:w="953" w:type="dxa"/>
            <w:tcBorders>
              <w:left w:val="nil"/>
              <w:bottom w:val="nil"/>
              <w:right w:val="single" w:color="auto" w:sz="4" w:space="0"/>
            </w:tcBorders>
          </w:tcPr>
          <w:p>
            <w:pPr>
              <w:pStyle w:val="12"/>
              <w:rPr>
                <w:rFonts w:ascii="Times New Roman"/>
                <w:sz w:val="18"/>
              </w:rPr>
            </w:pPr>
          </w:p>
        </w:tc>
        <w:tc>
          <w:tcPr>
            <w:tcW w:w="1440" w:type="dxa"/>
            <w:tcBorders>
              <w:left w:val="single" w:color="auto" w:sz="4" w:space="0"/>
              <w:bottom w:val="nil"/>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720" w:type="dxa"/>
            <w:tcBorders>
              <w:bottom w:val="single" w:color="000000" w:sz="4" w:space="0"/>
              <w:right w:val="single" w:color="auto" w:sz="4" w:space="0"/>
            </w:tcBorders>
          </w:tcPr>
          <w:p>
            <w:pPr>
              <w:pStyle w:val="12"/>
              <w:spacing w:before="101"/>
              <w:rPr>
                <w:sz w:val="20"/>
              </w:rPr>
            </w:pPr>
            <w:r>
              <w:rPr>
                <w:sz w:val="20"/>
              </w:rPr>
              <w:t xml:space="preserve">   2.13</w:t>
            </w:r>
          </w:p>
        </w:tc>
        <w:tc>
          <w:tcPr>
            <w:tcW w:w="7987" w:type="dxa"/>
            <w:tcBorders>
              <w:left w:val="single" w:color="auto" w:sz="4" w:space="0"/>
              <w:bottom w:val="single" w:color="000000" w:sz="4" w:space="0"/>
              <w:right w:val="nil"/>
            </w:tcBorders>
          </w:tcPr>
          <w:p>
            <w:pPr>
              <w:pStyle w:val="12"/>
              <w:spacing w:before="101" w:line="249" w:lineRule="auto"/>
              <w:ind w:right="309"/>
              <w:rPr>
                <w:lang w:val="en-GB"/>
              </w:rPr>
            </w:pPr>
            <w:r>
              <w:rPr>
                <w:sz w:val="20"/>
              </w:rPr>
              <w:t xml:space="preserve"> </w:t>
            </w:r>
            <w:r>
              <w:rPr>
                <w:sz w:val="20"/>
                <w:szCs w:val="20"/>
                <w:lang w:val="en-GB"/>
              </w:rPr>
              <w:t xml:space="preserve">Provide a brief description of the businesses of the merger parties (and, where relevant, their groups). </w:t>
            </w:r>
          </w:p>
          <w:p>
            <w:pPr>
              <w:pStyle w:val="12"/>
              <w:spacing w:before="101" w:line="249" w:lineRule="auto"/>
              <w:ind w:right="309"/>
              <w:jc w:val="both"/>
              <w:rPr>
                <w:sz w:val="20"/>
              </w:rPr>
            </w:pPr>
          </w:p>
        </w:tc>
        <w:tc>
          <w:tcPr>
            <w:tcW w:w="953" w:type="dxa"/>
            <w:tcBorders>
              <w:left w:val="nil"/>
              <w:bottom w:val="single" w:color="000000" w:sz="4" w:space="0"/>
              <w:right w:val="single" w:color="auto" w:sz="4" w:space="0"/>
            </w:tcBorders>
          </w:tcPr>
          <w:p>
            <w:pPr>
              <w:pStyle w:val="12"/>
              <w:rPr>
                <w:rFonts w:ascii="Times New Roman"/>
                <w:sz w:val="18"/>
              </w:rPr>
            </w:pPr>
          </w:p>
        </w:tc>
        <w:tc>
          <w:tcPr>
            <w:tcW w:w="1440" w:type="dxa"/>
            <w:tcBorders>
              <w:left w:val="single" w:color="auto" w:sz="4" w:space="0"/>
              <w:bottom w:val="single" w:color="000000" w:sz="4"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720" w:type="dxa"/>
            <w:tcBorders>
              <w:bottom w:val="single" w:color="auto" w:sz="4" w:space="0"/>
              <w:right w:val="single" w:color="auto" w:sz="4" w:space="0"/>
            </w:tcBorders>
          </w:tcPr>
          <w:p>
            <w:pPr>
              <w:pStyle w:val="12"/>
              <w:spacing w:before="101"/>
              <w:rPr>
                <w:sz w:val="20"/>
              </w:rPr>
            </w:pPr>
            <w:r>
              <w:rPr>
                <w:sz w:val="20"/>
              </w:rPr>
              <w:t xml:space="preserve">   2.14 </w:t>
            </w:r>
          </w:p>
        </w:tc>
        <w:tc>
          <w:tcPr>
            <w:tcW w:w="7987" w:type="dxa"/>
            <w:tcBorders>
              <w:left w:val="single" w:color="auto" w:sz="4" w:space="0"/>
              <w:bottom w:val="single" w:color="auto" w:sz="4" w:space="0"/>
              <w:right w:val="nil"/>
            </w:tcBorders>
          </w:tcPr>
          <w:p>
            <w:pPr>
              <w:pStyle w:val="12"/>
              <w:spacing w:before="101" w:line="249" w:lineRule="auto"/>
              <w:ind w:right="309"/>
              <w:rPr>
                <w:sz w:val="20"/>
              </w:rPr>
            </w:pPr>
            <w:r>
              <w:rPr>
                <w:sz w:val="20"/>
              </w:rPr>
              <w:t xml:space="preserve">Provide brief details of any other transactions (merger, acquisition, disposal, joint venture) undertaken by: </w:t>
            </w:r>
          </w:p>
          <w:p>
            <w:pPr>
              <w:pStyle w:val="12"/>
              <w:numPr>
                <w:ilvl w:val="0"/>
                <w:numId w:val="5"/>
              </w:numPr>
              <w:spacing w:before="101" w:line="249" w:lineRule="auto"/>
              <w:ind w:right="309"/>
              <w:rPr>
                <w:sz w:val="20"/>
              </w:rPr>
            </w:pPr>
            <w:r>
              <w:rPr>
                <w:sz w:val="20"/>
              </w:rPr>
              <w:t xml:space="preserve">either of the merger parties in the last three years which involve the products or services in any Affected Market identified in response to question 7.1, and  </w:t>
            </w:r>
          </w:p>
          <w:p>
            <w:pPr>
              <w:pStyle w:val="12"/>
              <w:numPr>
                <w:ilvl w:val="0"/>
                <w:numId w:val="5"/>
              </w:numPr>
              <w:spacing w:before="101" w:line="249" w:lineRule="auto"/>
              <w:ind w:right="309"/>
              <w:rPr>
                <w:sz w:val="20"/>
              </w:rPr>
            </w:pPr>
            <w:r>
              <w:rPr>
                <w:sz w:val="20"/>
              </w:rPr>
              <w:t>both or all merger parties in the last three years (that is, where the merger parties were party to the same transaction).</w:t>
            </w:r>
          </w:p>
        </w:tc>
        <w:tc>
          <w:tcPr>
            <w:tcW w:w="953" w:type="dxa"/>
            <w:tcBorders>
              <w:left w:val="nil"/>
              <w:bottom w:val="single" w:color="auto" w:sz="4" w:space="0"/>
              <w:right w:val="single" w:color="auto" w:sz="4" w:space="0"/>
            </w:tcBorders>
          </w:tcPr>
          <w:p>
            <w:pPr>
              <w:pStyle w:val="12"/>
              <w:rPr>
                <w:rFonts w:ascii="Times New Roman"/>
                <w:sz w:val="18"/>
              </w:rPr>
            </w:pPr>
          </w:p>
        </w:tc>
        <w:tc>
          <w:tcPr>
            <w:tcW w:w="1440" w:type="dxa"/>
            <w:tcBorders>
              <w:left w:val="single" w:color="auto" w:sz="4" w:space="0"/>
              <w:bottom w:val="single" w:color="auto" w:sz="4"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trPr>
        <w:tc>
          <w:tcPr>
            <w:tcW w:w="9660" w:type="dxa"/>
            <w:gridSpan w:val="3"/>
            <w:tcBorders>
              <w:top w:val="single" w:color="auto" w:sz="4" w:space="0"/>
              <w:left w:val="single" w:color="auto" w:sz="4" w:space="0"/>
              <w:bottom w:val="single" w:color="auto" w:sz="4" w:space="0"/>
              <w:right w:val="nil"/>
            </w:tcBorders>
            <w:shd w:val="clear" w:color="auto" w:fill="000000" w:themeFill="text1"/>
          </w:tcPr>
          <w:p>
            <w:pPr>
              <w:pStyle w:val="12"/>
              <w:numPr>
                <w:ilvl w:val="0"/>
                <w:numId w:val="6"/>
              </w:numPr>
              <w:spacing w:before="151"/>
              <w:rPr>
                <w:b/>
                <w:sz w:val="20"/>
              </w:rPr>
            </w:pPr>
            <w:r>
              <w:rPr>
                <w:b/>
                <w:bCs/>
                <w:sz w:val="20"/>
                <w:lang w:val="en-GB"/>
              </w:rPr>
              <w:t>ANNUAL TURNOVER</w:t>
            </w:r>
            <w:r>
              <w:rPr>
                <w:b/>
                <w:sz w:val="20"/>
              </w:rPr>
              <w:t xml:space="preserve"> </w:t>
            </w:r>
          </w:p>
        </w:tc>
        <w:tc>
          <w:tcPr>
            <w:tcW w:w="1440" w:type="dxa"/>
            <w:tcBorders>
              <w:top w:val="single" w:color="auto" w:sz="4" w:space="0"/>
              <w:left w:val="nil"/>
              <w:bottom w:val="single" w:color="auto" w:sz="4" w:space="0"/>
              <w:right w:val="single" w:color="auto" w:sz="4" w:space="0"/>
            </w:tcBorders>
            <w:shd w:val="clear" w:color="auto" w:fill="000000" w:themeFill="text1"/>
          </w:tcPr>
          <w:p>
            <w:pPr>
              <w:pStyle w:val="12"/>
              <w:spacing w:before="151"/>
              <w:rPr>
                <w:b/>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8" w:hRule="atLeast"/>
        </w:trPr>
        <w:tc>
          <w:tcPr>
            <w:tcW w:w="720" w:type="dxa"/>
            <w:tcBorders>
              <w:top w:val="single" w:color="auto" w:sz="4" w:space="0"/>
              <w:left w:val="single" w:color="auto" w:sz="4" w:space="0"/>
              <w:bottom w:val="single" w:color="auto" w:sz="4" w:space="0"/>
              <w:right w:val="single" w:color="auto" w:sz="4" w:space="0"/>
            </w:tcBorders>
            <w:shd w:val="clear" w:color="auto" w:fill="auto"/>
          </w:tcPr>
          <w:p>
            <w:pPr>
              <w:pStyle w:val="12"/>
              <w:spacing w:before="101"/>
              <w:ind w:left="148"/>
              <w:rPr>
                <w:sz w:val="20"/>
              </w:rPr>
            </w:pPr>
            <w:r>
              <w:rPr>
                <w:sz w:val="20"/>
              </w:rPr>
              <w:t>3.1</w:t>
            </w:r>
          </w:p>
        </w:tc>
        <w:tc>
          <w:tcPr>
            <w:tcW w:w="7987" w:type="dxa"/>
            <w:tcBorders>
              <w:top w:val="single" w:color="auto" w:sz="4" w:space="0"/>
              <w:left w:val="single" w:color="auto" w:sz="4" w:space="0"/>
              <w:bottom w:val="single" w:color="auto" w:sz="4" w:space="0"/>
              <w:right w:val="nil"/>
            </w:tcBorders>
            <w:shd w:val="clear" w:color="auto" w:fill="auto"/>
          </w:tcPr>
          <w:p>
            <w:pPr>
              <w:pStyle w:val="12"/>
              <w:spacing w:before="101" w:line="249" w:lineRule="auto"/>
              <w:ind w:left="77" w:right="222"/>
              <w:rPr>
                <w:sz w:val="20"/>
                <w:lang w:val="en-GB"/>
              </w:rPr>
            </w:pPr>
            <w:r>
              <w:rPr>
                <w:sz w:val="20"/>
                <w:lang w:val="en-GB"/>
              </w:rPr>
              <w:t xml:space="preserve">Indicate the annual turnover in the last financial year associated with each of: </w:t>
            </w:r>
          </w:p>
          <w:p>
            <w:pPr>
              <w:pStyle w:val="12"/>
              <w:numPr>
                <w:ilvl w:val="4"/>
                <w:numId w:val="7"/>
              </w:numPr>
              <w:spacing w:before="101" w:line="249" w:lineRule="auto"/>
              <w:ind w:left="465" w:right="222"/>
              <w:rPr>
                <w:sz w:val="20"/>
                <w:lang w:val="en-GB"/>
              </w:rPr>
            </w:pPr>
            <w:r>
              <w:rPr>
                <w:sz w:val="20"/>
                <w:lang w:val="en-GB"/>
              </w:rPr>
              <w:t xml:space="preserve">the acquiring undertaking (including group companies where relevant, and </w:t>
            </w:r>
          </w:p>
          <w:p>
            <w:pPr>
              <w:pStyle w:val="12"/>
              <w:numPr>
                <w:ilvl w:val="4"/>
                <w:numId w:val="7"/>
              </w:numPr>
              <w:spacing w:before="101" w:line="249" w:lineRule="auto"/>
              <w:ind w:left="465" w:right="222"/>
              <w:rPr>
                <w:sz w:val="20"/>
                <w:lang w:val="en-GB"/>
              </w:rPr>
            </w:pPr>
            <w:r>
              <w:rPr>
                <w:sz w:val="20"/>
                <w:lang w:val="en-GB"/>
              </w:rPr>
              <w:t xml:space="preserve">the target undertaking </w:t>
            </w:r>
          </w:p>
          <w:p>
            <w:pPr>
              <w:pStyle w:val="12"/>
              <w:numPr>
                <w:ilvl w:val="4"/>
                <w:numId w:val="7"/>
              </w:numPr>
              <w:spacing w:before="101" w:line="249" w:lineRule="auto"/>
              <w:ind w:left="465" w:right="222"/>
              <w:rPr>
                <w:sz w:val="20"/>
                <w:lang w:val="en-GB"/>
              </w:rPr>
            </w:pPr>
            <w:r>
              <w:rPr>
                <w:sz w:val="20"/>
                <w:lang w:val="en-GB"/>
              </w:rPr>
              <w:t>for foreign to foreign mergers, the annual turnover of the Nigerian component is required.</w:t>
            </w:r>
          </w:p>
          <w:p>
            <w:pPr>
              <w:pStyle w:val="12"/>
              <w:spacing w:before="101" w:line="249" w:lineRule="auto"/>
              <w:ind w:left="77" w:right="222"/>
              <w:jc w:val="both"/>
              <w:rPr>
                <w:sz w:val="20"/>
              </w:rPr>
            </w:pPr>
          </w:p>
        </w:tc>
        <w:tc>
          <w:tcPr>
            <w:tcW w:w="953" w:type="dxa"/>
            <w:tcBorders>
              <w:top w:val="single" w:color="auto" w:sz="4" w:space="0"/>
              <w:left w:val="nil"/>
              <w:bottom w:val="single" w:color="auto" w:sz="4" w:space="0"/>
              <w:right w:val="single" w:color="auto" w:sz="4" w:space="0"/>
            </w:tcBorders>
            <w:shd w:val="clear" w:color="auto" w:fill="auto"/>
          </w:tcPr>
          <w:p>
            <w:pPr>
              <w:pStyle w:val="12"/>
              <w:rPr>
                <w:rFonts w:ascii="Times New Roman"/>
                <w:sz w:val="18"/>
              </w:rPr>
            </w:pPr>
          </w:p>
        </w:tc>
        <w:tc>
          <w:tcPr>
            <w:tcW w:w="1440" w:type="dxa"/>
            <w:tcBorders>
              <w:top w:val="nil"/>
              <w:left w:val="single" w:color="auto" w:sz="4" w:space="0"/>
              <w:bottom w:val="single" w:color="auto" w:sz="4" w:space="0"/>
              <w:right w:val="single" w:color="auto" w:sz="4" w:space="0"/>
            </w:tcBorders>
            <w:shd w:val="clear" w:color="auto" w:fill="auto"/>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6" w:hRule="atLeast"/>
        </w:trPr>
        <w:tc>
          <w:tcPr>
            <w:tcW w:w="720" w:type="dxa"/>
            <w:tcBorders>
              <w:top w:val="single" w:color="auto" w:sz="4" w:space="0"/>
              <w:left w:val="single" w:color="auto" w:sz="4" w:space="0"/>
              <w:bottom w:val="single" w:color="auto" w:sz="4" w:space="0"/>
              <w:right w:val="single" w:color="auto" w:sz="4" w:space="0"/>
            </w:tcBorders>
            <w:shd w:val="clear" w:color="auto" w:fill="000000" w:themeFill="text1"/>
          </w:tcPr>
          <w:p>
            <w:pPr>
              <w:pStyle w:val="12"/>
              <w:numPr>
                <w:ilvl w:val="0"/>
                <w:numId w:val="6"/>
              </w:numPr>
              <w:spacing w:before="101"/>
              <w:rPr>
                <w:sz w:val="20"/>
              </w:rPr>
            </w:pPr>
          </w:p>
        </w:tc>
        <w:tc>
          <w:tcPr>
            <w:tcW w:w="7987" w:type="dxa"/>
            <w:tcBorders>
              <w:top w:val="single" w:color="auto" w:sz="4" w:space="0"/>
              <w:left w:val="single" w:color="auto" w:sz="4" w:space="0"/>
              <w:bottom w:val="single" w:color="auto" w:sz="4" w:space="0"/>
              <w:right w:val="nil"/>
            </w:tcBorders>
            <w:shd w:val="clear" w:color="auto" w:fill="000000" w:themeFill="text1"/>
          </w:tcPr>
          <w:p>
            <w:pPr>
              <w:pStyle w:val="12"/>
              <w:spacing w:before="101" w:line="249" w:lineRule="auto"/>
              <w:ind w:left="77" w:right="222"/>
              <w:rPr>
                <w:sz w:val="20"/>
              </w:rPr>
            </w:pPr>
            <w:r>
              <w:rPr>
                <w:b/>
                <w:bCs/>
                <w:sz w:val="20"/>
                <w:lang w:val="en-GB"/>
              </w:rPr>
              <w:t>SUPPORTING DOCUMENTS</w:t>
            </w:r>
          </w:p>
        </w:tc>
        <w:tc>
          <w:tcPr>
            <w:tcW w:w="953" w:type="dxa"/>
            <w:tcBorders>
              <w:top w:val="single" w:color="auto" w:sz="4" w:space="0"/>
              <w:left w:val="nil"/>
              <w:bottom w:val="single" w:color="auto" w:sz="4" w:space="0"/>
              <w:right w:val="single" w:color="auto" w:sz="4" w:space="0"/>
            </w:tcBorders>
            <w:shd w:val="clear" w:color="auto" w:fill="000000" w:themeFill="text1"/>
          </w:tcPr>
          <w:p>
            <w:pPr>
              <w:pStyle w:val="12"/>
              <w:rPr>
                <w:rFonts w:ascii="Times New Roman"/>
                <w:sz w:val="18"/>
              </w:rPr>
            </w:pPr>
          </w:p>
        </w:tc>
        <w:tc>
          <w:tcPr>
            <w:tcW w:w="1440" w:type="dxa"/>
            <w:tcBorders>
              <w:top w:val="single" w:color="auto" w:sz="4" w:space="0"/>
              <w:left w:val="single" w:color="auto" w:sz="4" w:space="0"/>
              <w:bottom w:val="single" w:color="auto" w:sz="4" w:space="0"/>
              <w:right w:val="single" w:color="auto" w:sz="4" w:space="0"/>
            </w:tcBorders>
            <w:shd w:val="clear" w:color="auto" w:fill="000000" w:themeFill="text1"/>
          </w:tcPr>
          <w:p/>
          <w:p>
            <w:pPr>
              <w:rPr>
                <w:rFonts w:ascii="Times New Roman"/>
                <w:sz w:val="18"/>
              </w:rPr>
            </w:pPr>
          </w:p>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8" w:hRule="atLeast"/>
        </w:trPr>
        <w:tc>
          <w:tcPr>
            <w:tcW w:w="720" w:type="dxa"/>
            <w:tcBorders>
              <w:top w:val="single" w:color="auto" w:sz="4" w:space="0"/>
              <w:right w:val="single" w:color="auto" w:sz="4" w:space="0"/>
            </w:tcBorders>
          </w:tcPr>
          <w:p>
            <w:pPr>
              <w:pStyle w:val="12"/>
              <w:spacing w:before="101"/>
              <w:ind w:left="143"/>
              <w:rPr>
                <w:sz w:val="20"/>
              </w:rPr>
            </w:pPr>
            <w:r>
              <w:rPr>
                <w:sz w:val="20"/>
              </w:rPr>
              <w:t>4.1</w:t>
            </w:r>
          </w:p>
        </w:tc>
        <w:tc>
          <w:tcPr>
            <w:tcW w:w="7987" w:type="dxa"/>
            <w:tcBorders>
              <w:top w:val="single" w:color="auto" w:sz="4" w:space="0"/>
              <w:left w:val="single" w:color="auto" w:sz="4" w:space="0"/>
              <w:right w:val="nil"/>
            </w:tcBorders>
          </w:tcPr>
          <w:p>
            <w:pPr>
              <w:pStyle w:val="12"/>
              <w:spacing w:before="101" w:line="249" w:lineRule="auto"/>
              <w:ind w:left="77" w:right="189"/>
              <w:rPr>
                <w:sz w:val="20"/>
                <w:lang w:val="en-GB"/>
              </w:rPr>
            </w:pPr>
            <w:r>
              <w:rPr>
                <w:sz w:val="20"/>
                <w:lang w:val="en-GB"/>
              </w:rPr>
              <w:t>The notifying party or parties must provide the following:</w:t>
            </w:r>
          </w:p>
          <w:p>
            <w:pPr>
              <w:pStyle w:val="12"/>
              <w:numPr>
                <w:ilvl w:val="0"/>
                <w:numId w:val="8"/>
              </w:numPr>
              <w:spacing w:before="101" w:line="249" w:lineRule="auto"/>
              <w:ind w:right="189"/>
              <w:jc w:val="both"/>
              <w:rPr>
                <w:sz w:val="20"/>
                <w:lang w:val="en-GB"/>
              </w:rPr>
            </w:pPr>
            <w:r>
              <w:rPr>
                <w:sz w:val="20"/>
                <w:lang w:val="en-GB"/>
              </w:rPr>
              <w:t xml:space="preserve">copies of the final or most recent versions of all documents bringing about the merger, including heads of terms, memorandum of understanding, sale and purchase agreement, business purchase agreement or equivalent. Where these are not in final form, please provide the latest draft and keep the Commission informed of subsequent changes to the document, if any. </w:t>
            </w:r>
          </w:p>
          <w:p>
            <w:pPr>
              <w:pStyle w:val="12"/>
              <w:numPr>
                <w:ilvl w:val="0"/>
                <w:numId w:val="8"/>
              </w:numPr>
              <w:spacing w:before="101" w:line="249" w:lineRule="auto"/>
              <w:ind w:right="189"/>
              <w:jc w:val="both"/>
              <w:rPr>
                <w:sz w:val="20"/>
                <w:lang w:val="en-GB"/>
              </w:rPr>
            </w:pPr>
            <w:r>
              <w:rPr>
                <w:sz w:val="20"/>
                <w:lang w:val="en-GB"/>
              </w:rPr>
              <w:t xml:space="preserve">copies of the following documents prepared by or for or received by any member(s) of the board of management, the board of directors, or the supervisory board, as applicable in the light of the corporate governance structure, or the other person(s) exercising similar functions (or to whom such functions have been delegated or entrusted), or the shareholders’ meeting: </w:t>
            </w:r>
          </w:p>
          <w:p>
            <w:pPr>
              <w:pStyle w:val="12"/>
              <w:numPr>
                <w:ilvl w:val="0"/>
                <w:numId w:val="9"/>
              </w:numPr>
              <w:spacing w:before="101" w:line="249" w:lineRule="auto"/>
              <w:ind w:left="1095" w:right="189"/>
              <w:jc w:val="both"/>
              <w:rPr>
                <w:sz w:val="20"/>
                <w:lang w:val="en-GB"/>
              </w:rPr>
            </w:pPr>
            <w:r>
              <w:rPr>
                <w:sz w:val="20"/>
                <w:lang w:val="en-GB"/>
              </w:rPr>
              <w:t>extracts of minutes of the meetings of the board of management, board of directors, supervisory board and shareholders’ meeting at which the transaction has been discussed, or excerpts of those minutes relating to the discussion of the transaction;</w:t>
            </w:r>
          </w:p>
          <w:p>
            <w:pPr>
              <w:pStyle w:val="12"/>
              <w:numPr>
                <w:ilvl w:val="0"/>
                <w:numId w:val="9"/>
              </w:numPr>
              <w:spacing w:before="101" w:line="249" w:lineRule="auto"/>
              <w:ind w:left="1095" w:right="189"/>
              <w:jc w:val="both"/>
              <w:rPr>
                <w:sz w:val="20"/>
                <w:lang w:val="en-GB"/>
              </w:rPr>
            </w:pPr>
            <w:r>
              <w:rPr>
                <w:sz w:val="20"/>
                <w:lang w:val="en-GB"/>
              </w:rPr>
              <w:t>analysis, reports, studies, surveys, presentations and any comparable documents for the purpose of assessing or analysing the merger with respect to its rationale (including documents where the transaction is discussed in relation to potential alternative acquisitions), market shares, competitive conditions, competitors (actual and potential), potential for sales growth or expansion into other product or geographic markets, and/or general market conditions;</w:t>
            </w:r>
          </w:p>
          <w:p>
            <w:pPr>
              <w:pStyle w:val="12"/>
              <w:numPr>
                <w:ilvl w:val="0"/>
                <w:numId w:val="9"/>
              </w:numPr>
              <w:spacing w:before="101" w:line="249" w:lineRule="auto"/>
              <w:ind w:left="1095" w:right="189"/>
              <w:jc w:val="both"/>
              <w:rPr>
                <w:sz w:val="20"/>
                <w:lang w:val="en-GB"/>
              </w:rPr>
            </w:pPr>
            <w:r>
              <w:rPr>
                <w:sz w:val="20"/>
                <w:lang w:val="en-GB"/>
              </w:rPr>
              <w:t>analysis, reports, studies, surveys and any comparable documents from the last two years for the purpose of assessing any of the affected markets with respect to market shares, competitive conditions, competitors (actual and potential) and/or potential for sales growth or expansion into other product or geographic markets.</w:t>
            </w:r>
          </w:p>
          <w:p>
            <w:pPr>
              <w:pStyle w:val="12"/>
              <w:spacing w:before="101" w:line="249" w:lineRule="auto"/>
              <w:ind w:left="77" w:right="189"/>
              <w:rPr>
                <w:sz w:val="20"/>
              </w:rPr>
            </w:pPr>
          </w:p>
        </w:tc>
        <w:tc>
          <w:tcPr>
            <w:tcW w:w="953" w:type="dxa"/>
            <w:tcBorders>
              <w:top w:val="single" w:color="auto" w:sz="4" w:space="0"/>
              <w:left w:val="nil"/>
              <w:bottom w:val="single" w:color="000000" w:sz="4" w:space="0"/>
              <w:right w:val="single" w:color="auto" w:sz="4" w:space="0"/>
            </w:tcBorders>
          </w:tcPr>
          <w:p>
            <w:pPr>
              <w:pStyle w:val="12"/>
              <w:rPr>
                <w:rFonts w:ascii="Times New Roman"/>
                <w:sz w:val="18"/>
              </w:rPr>
            </w:pPr>
          </w:p>
        </w:tc>
        <w:tc>
          <w:tcPr>
            <w:tcW w:w="1440" w:type="dxa"/>
            <w:tcBorders>
              <w:top w:val="single" w:color="auto" w:sz="4" w:space="0"/>
              <w:left w:val="single" w:color="auto" w:sz="4" w:space="0"/>
              <w:right w:val="single" w:color="auto" w:sz="4" w:space="0"/>
            </w:tcBorders>
            <w:shd w:val="clear" w:color="auto" w:fill="auto"/>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ind w:left="143"/>
              <w:rPr>
                <w:sz w:val="20"/>
              </w:rPr>
            </w:pPr>
            <w:r>
              <w:rPr>
                <w:sz w:val="20"/>
              </w:rPr>
              <w:t>4.2</w:t>
            </w:r>
          </w:p>
        </w:tc>
        <w:tc>
          <w:tcPr>
            <w:tcW w:w="7987" w:type="dxa"/>
            <w:tcBorders>
              <w:right w:val="nil"/>
            </w:tcBorders>
          </w:tcPr>
          <w:p>
            <w:pPr>
              <w:pStyle w:val="12"/>
              <w:spacing w:before="101"/>
              <w:ind w:left="72" w:right="270"/>
              <w:jc w:val="both"/>
              <w:rPr>
                <w:sz w:val="20"/>
                <w:lang w:val="en-GB"/>
              </w:rPr>
            </w:pPr>
            <w:r>
              <w:rPr>
                <w:sz w:val="20"/>
                <w:lang w:val="en-GB"/>
              </w:rPr>
              <w:t>Provide copies of the most recent business plan of the acquirer and acquirer group (if relevant) and the target (or merger parties in the case of a full merger). Where a horizontal overlap or vertical relationship involves, for example, a specific division or brand of one or both of the merger parties, the most recent business plan for the relevant division or brand should be provided as well.</w:t>
            </w:r>
          </w:p>
          <w:p>
            <w:pPr>
              <w:pStyle w:val="12"/>
              <w:spacing w:before="101"/>
              <w:ind w:left="72"/>
              <w:rPr>
                <w:sz w:val="20"/>
              </w:rPr>
            </w:pPr>
          </w:p>
        </w:tc>
        <w:tc>
          <w:tcPr>
            <w:tcW w:w="953" w:type="dxa"/>
            <w:tcBorders>
              <w:left w:val="nil"/>
              <w:bottom w:val="single" w:color="000000" w:sz="4" w:space="0"/>
              <w:right w:val="single" w:color="auto" w:sz="4" w:space="0"/>
            </w:tcBorders>
          </w:tcPr>
          <w:p>
            <w:pPr>
              <w:pStyle w:val="12"/>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ind w:left="143"/>
              <w:rPr>
                <w:sz w:val="20"/>
              </w:rPr>
            </w:pPr>
            <w:r>
              <w:rPr>
                <w:sz w:val="20"/>
              </w:rPr>
              <w:t>4.3</w:t>
            </w:r>
          </w:p>
        </w:tc>
        <w:tc>
          <w:tcPr>
            <w:tcW w:w="7987" w:type="dxa"/>
            <w:tcBorders>
              <w:right w:val="nil"/>
            </w:tcBorders>
          </w:tcPr>
          <w:p>
            <w:pPr>
              <w:pStyle w:val="12"/>
              <w:spacing w:before="101"/>
              <w:ind w:left="72"/>
              <w:rPr>
                <w:sz w:val="20"/>
                <w:lang w:val="en-GB"/>
              </w:rPr>
            </w:pPr>
            <w:r>
              <w:rPr>
                <w:sz w:val="20"/>
                <w:lang w:val="en-GB"/>
              </w:rPr>
              <w:t xml:space="preserve">Provide copies of any documents in either of the merger parties’ possession which: </w:t>
            </w:r>
          </w:p>
          <w:p>
            <w:pPr>
              <w:pStyle w:val="12"/>
              <w:numPr>
                <w:ilvl w:val="4"/>
                <w:numId w:val="10"/>
              </w:numPr>
              <w:spacing w:before="101"/>
              <w:ind w:left="556" w:right="270"/>
              <w:jc w:val="both"/>
              <w:rPr>
                <w:sz w:val="20"/>
                <w:lang w:val="en-GB"/>
              </w:rPr>
            </w:pPr>
            <w:r>
              <w:rPr>
                <w:sz w:val="20"/>
                <w:lang w:val="en-GB"/>
              </w:rPr>
              <w:t>have been prepared by or for, or received by, any member of the board of directors (or equivalent body) or senior management or the shareholders’ meeting of either merger party (whether prepared internally or by external consultants), and</w:t>
            </w:r>
          </w:p>
          <w:p>
            <w:pPr>
              <w:pStyle w:val="12"/>
              <w:numPr>
                <w:ilvl w:val="4"/>
                <w:numId w:val="7"/>
              </w:numPr>
              <w:spacing w:before="101"/>
              <w:ind w:left="556" w:right="270"/>
              <w:rPr>
                <w:sz w:val="20"/>
                <w:lang w:val="en-GB"/>
              </w:rPr>
            </w:pPr>
            <w:r>
              <w:rPr>
                <w:sz w:val="20"/>
                <w:lang w:val="en-GB"/>
              </w:rPr>
              <w:t>either:</w:t>
            </w:r>
          </w:p>
          <w:p>
            <w:pPr>
              <w:pStyle w:val="12"/>
              <w:numPr>
                <w:ilvl w:val="2"/>
                <w:numId w:val="11"/>
              </w:numPr>
              <w:tabs>
                <w:tab w:val="left" w:pos="1276"/>
              </w:tabs>
              <w:spacing w:before="101"/>
              <w:ind w:left="1006" w:right="270"/>
              <w:jc w:val="both"/>
              <w:rPr>
                <w:sz w:val="20"/>
                <w:lang w:val="en-GB"/>
              </w:rPr>
            </w:pPr>
            <w:r>
              <w:rPr>
                <w:sz w:val="20"/>
                <w:lang w:val="en-GB"/>
              </w:rPr>
              <w:t xml:space="preserve">set out the rationale for the merger (including but not limited to the benefits of, and/or investment case for the acquisition), or </w:t>
            </w:r>
          </w:p>
          <w:p>
            <w:pPr>
              <w:pStyle w:val="12"/>
              <w:numPr>
                <w:ilvl w:val="2"/>
                <w:numId w:val="7"/>
              </w:numPr>
              <w:tabs>
                <w:tab w:val="left" w:pos="1276"/>
                <w:tab w:val="clear" w:pos="1584"/>
              </w:tabs>
              <w:spacing w:before="101"/>
              <w:ind w:left="1006" w:right="270"/>
              <w:jc w:val="both"/>
              <w:rPr>
                <w:sz w:val="20"/>
                <w:lang w:val="en-GB"/>
              </w:rPr>
            </w:pPr>
            <w:r>
              <w:rPr>
                <w:sz w:val="20"/>
                <w:lang w:val="en-GB"/>
              </w:rPr>
              <w:t>assess or analyse the merger with respect to competitive conditions, competitors (actual and potential), potential for sales growth or expansion into new product or geographic areas, market conditions, market shares and/or the price to be paid. This should include but not necessarily be limited to post-merger business plans or strategy (including integration plans and financial forecasts) and Information Memoranda prepared by or for the merger parties that specifically relate to the sale of the merger trasncation. If no such Information Memoranda exist, explain what information or document(s) given to any of the merger parties is meant to serve the function of an Information Memorandum.</w:t>
            </w:r>
          </w:p>
          <w:p>
            <w:pPr>
              <w:pStyle w:val="12"/>
              <w:spacing w:before="101"/>
              <w:ind w:left="72"/>
              <w:rPr>
                <w:sz w:val="20"/>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bottom w:val="single" w:color="000000"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shd w:val="clear" w:color="auto" w:fill="000000" w:themeFill="text1"/>
          </w:tcPr>
          <w:p>
            <w:pPr>
              <w:pStyle w:val="12"/>
              <w:numPr>
                <w:ilvl w:val="0"/>
                <w:numId w:val="6"/>
              </w:numPr>
              <w:spacing w:before="101"/>
              <w:rPr>
                <w:sz w:val="20"/>
              </w:rPr>
            </w:pPr>
          </w:p>
        </w:tc>
        <w:tc>
          <w:tcPr>
            <w:tcW w:w="7987" w:type="dxa"/>
            <w:tcBorders>
              <w:right w:val="nil"/>
            </w:tcBorders>
            <w:shd w:val="clear" w:color="auto" w:fill="000000" w:themeFill="text1"/>
          </w:tcPr>
          <w:p>
            <w:pPr>
              <w:pStyle w:val="12"/>
              <w:spacing w:before="101"/>
              <w:ind w:left="72"/>
              <w:rPr>
                <w:sz w:val="20"/>
                <w:lang w:val="en-GB"/>
              </w:rPr>
            </w:pPr>
            <w:r>
              <w:rPr>
                <w:b/>
                <w:bCs/>
                <w:sz w:val="20"/>
                <w:lang w:val="en-GB"/>
              </w:rPr>
              <w:t>INDUSTRY/MARKET REPORTS</w:t>
            </w:r>
          </w:p>
        </w:tc>
        <w:tc>
          <w:tcPr>
            <w:tcW w:w="953" w:type="dxa"/>
            <w:tcBorders>
              <w:left w:val="nil"/>
              <w:right w:val="nil"/>
            </w:tcBorders>
            <w:shd w:val="clear" w:color="auto" w:fill="000000" w:themeFill="text1"/>
          </w:tcPr>
          <w:p>
            <w:pPr>
              <w:pStyle w:val="12"/>
              <w:rPr>
                <w:rFonts w:ascii="Times New Roman"/>
                <w:sz w:val="18"/>
              </w:rPr>
            </w:pPr>
          </w:p>
        </w:tc>
        <w:tc>
          <w:tcPr>
            <w:tcW w:w="1440" w:type="dxa"/>
            <w:tcBorders>
              <w:left w:val="nil"/>
              <w:right w:val="single" w:color="000000" w:sz="6" w:space="0"/>
            </w:tcBorders>
            <w:shd w:val="clear" w:color="auto" w:fill="000000" w:themeFill="text1"/>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5.1. </w:t>
            </w:r>
          </w:p>
        </w:tc>
        <w:tc>
          <w:tcPr>
            <w:tcW w:w="7987" w:type="dxa"/>
            <w:tcBorders>
              <w:right w:val="nil"/>
            </w:tcBorders>
          </w:tcPr>
          <w:p>
            <w:pPr>
              <w:pStyle w:val="12"/>
              <w:spacing w:before="101"/>
              <w:ind w:left="72"/>
              <w:jc w:val="both"/>
              <w:rPr>
                <w:sz w:val="20"/>
                <w:lang w:val="en-GB"/>
              </w:rPr>
            </w:pPr>
            <w:r>
              <w:rPr>
                <w:sz w:val="20"/>
                <w:lang w:val="en-GB"/>
              </w:rPr>
              <w:t>Provide copies of documents (including, but not necessarily limited to, reports, presentations, studies, internal analyses, industry/market reports or analysis, including customer research and pricing studies) in either merger parties’ possession and prepared or published in the last two years which:</w:t>
            </w:r>
          </w:p>
          <w:p>
            <w:pPr>
              <w:pStyle w:val="12"/>
              <w:numPr>
                <w:ilvl w:val="1"/>
                <w:numId w:val="12"/>
              </w:numPr>
              <w:spacing w:before="101"/>
              <w:jc w:val="both"/>
              <w:rPr>
                <w:sz w:val="20"/>
                <w:lang w:val="en-GB"/>
              </w:rPr>
            </w:pPr>
            <w:r>
              <w:rPr>
                <w:sz w:val="20"/>
                <w:lang w:val="en-GB"/>
              </w:rPr>
              <w:t>have been prepared by or for, or received by, any member of the board of directors (or equivalent body) or senior management of either merger party (whether prepared internally or by external consultants), and</w:t>
            </w:r>
          </w:p>
          <w:p>
            <w:pPr>
              <w:pStyle w:val="12"/>
              <w:numPr>
                <w:ilvl w:val="1"/>
                <w:numId w:val="7"/>
              </w:numPr>
              <w:spacing w:before="101"/>
              <w:jc w:val="both"/>
              <w:rPr>
                <w:sz w:val="20"/>
                <w:lang w:val="en-GB"/>
              </w:rPr>
            </w:pPr>
            <w:r>
              <w:rPr>
                <w:sz w:val="20"/>
                <w:lang w:val="en-GB"/>
              </w:rPr>
              <w:t>set out the competitive conditions, market conditions, market shares, competitors, or the merging parties’ business plans in relation to the product(s) or service(s) where the merger parties have a horizontal overlap as identified in response to question 12 below.</w:t>
            </w:r>
          </w:p>
          <w:p>
            <w:pPr>
              <w:pStyle w:val="12"/>
              <w:spacing w:before="101"/>
              <w:ind w:left="72"/>
              <w:rPr>
                <w:sz w:val="20"/>
                <w:lang w:val="en-GB"/>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bottom w:val="single" w:color="000000"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shd w:val="clear" w:color="auto" w:fill="000000" w:themeFill="text1"/>
          </w:tcPr>
          <w:p>
            <w:pPr>
              <w:pStyle w:val="12"/>
              <w:numPr>
                <w:ilvl w:val="0"/>
                <w:numId w:val="6"/>
              </w:numPr>
              <w:spacing w:before="101"/>
              <w:rPr>
                <w:sz w:val="20"/>
              </w:rPr>
            </w:pPr>
          </w:p>
        </w:tc>
        <w:tc>
          <w:tcPr>
            <w:tcW w:w="7987" w:type="dxa"/>
            <w:tcBorders>
              <w:right w:val="nil"/>
            </w:tcBorders>
            <w:shd w:val="clear" w:color="auto" w:fill="000000" w:themeFill="text1"/>
          </w:tcPr>
          <w:p>
            <w:pPr>
              <w:pStyle w:val="12"/>
              <w:spacing w:before="101"/>
              <w:ind w:left="72"/>
              <w:jc w:val="both"/>
              <w:rPr>
                <w:sz w:val="20"/>
                <w:lang w:val="en-GB"/>
              </w:rPr>
            </w:pPr>
            <w:r>
              <w:rPr>
                <w:b/>
                <w:bCs/>
                <w:sz w:val="20"/>
                <w:lang w:val="en-GB"/>
              </w:rPr>
              <w:t>COMPETITION ASSESSMENT</w:t>
            </w:r>
          </w:p>
        </w:tc>
        <w:tc>
          <w:tcPr>
            <w:tcW w:w="953" w:type="dxa"/>
            <w:tcBorders>
              <w:left w:val="nil"/>
              <w:right w:val="nil"/>
            </w:tcBorders>
            <w:shd w:val="clear" w:color="auto" w:fill="000000" w:themeFill="text1"/>
          </w:tcPr>
          <w:p>
            <w:pPr>
              <w:pStyle w:val="12"/>
              <w:rPr>
                <w:rFonts w:ascii="Times New Roman"/>
                <w:sz w:val="18"/>
              </w:rPr>
            </w:pPr>
          </w:p>
        </w:tc>
        <w:tc>
          <w:tcPr>
            <w:tcW w:w="1440" w:type="dxa"/>
            <w:tcBorders>
              <w:left w:val="nil"/>
              <w:right w:val="single" w:color="000000" w:sz="6" w:space="0"/>
            </w:tcBorders>
            <w:shd w:val="clear" w:color="auto" w:fill="000000" w:themeFill="text1"/>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6.1 </w:t>
            </w:r>
          </w:p>
        </w:tc>
        <w:tc>
          <w:tcPr>
            <w:tcW w:w="7987" w:type="dxa"/>
            <w:tcBorders>
              <w:right w:val="nil"/>
            </w:tcBorders>
          </w:tcPr>
          <w:p>
            <w:pPr>
              <w:pStyle w:val="12"/>
              <w:spacing w:before="101"/>
              <w:ind w:left="72"/>
              <w:jc w:val="both"/>
              <w:rPr>
                <w:sz w:val="20"/>
                <w:lang w:val="en-GB"/>
              </w:rPr>
            </w:pPr>
            <w:r>
              <w:rPr>
                <w:sz w:val="20"/>
                <w:lang w:val="en-GB"/>
              </w:rPr>
              <w:t>If the notifying parties consider that the Commission should assess the competitive effects of the merger against a counterfactual other than the current or pre-existing competitive situation, please describe that counterfactual and explain why the notifying parties consider it should be used for that assessment.</w:t>
            </w:r>
          </w:p>
          <w:p>
            <w:pPr>
              <w:pStyle w:val="12"/>
              <w:spacing w:before="101"/>
              <w:ind w:left="72"/>
              <w:jc w:val="both"/>
              <w:rPr>
                <w:sz w:val="20"/>
                <w:lang w:val="en-GB"/>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bottom w:val="single" w:color="000000"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shd w:val="clear" w:color="auto" w:fill="000000" w:themeFill="text1"/>
          </w:tcPr>
          <w:p>
            <w:pPr>
              <w:pStyle w:val="12"/>
              <w:numPr>
                <w:ilvl w:val="0"/>
                <w:numId w:val="6"/>
              </w:numPr>
              <w:spacing w:before="101"/>
              <w:rPr>
                <w:sz w:val="20"/>
              </w:rPr>
            </w:pPr>
          </w:p>
        </w:tc>
        <w:tc>
          <w:tcPr>
            <w:tcW w:w="7987" w:type="dxa"/>
            <w:tcBorders>
              <w:right w:val="nil"/>
            </w:tcBorders>
            <w:shd w:val="clear" w:color="auto" w:fill="000000" w:themeFill="text1"/>
          </w:tcPr>
          <w:p>
            <w:pPr>
              <w:pStyle w:val="12"/>
              <w:spacing w:before="101"/>
              <w:ind w:left="72"/>
              <w:jc w:val="both"/>
              <w:rPr>
                <w:sz w:val="20"/>
                <w:lang w:val="en-GB"/>
              </w:rPr>
            </w:pPr>
            <w:r>
              <w:rPr>
                <w:b/>
                <w:bCs/>
                <w:sz w:val="20"/>
                <w:lang w:val="en-GB"/>
              </w:rPr>
              <w:t>MARKET DEFINITION</w:t>
            </w:r>
          </w:p>
        </w:tc>
        <w:tc>
          <w:tcPr>
            <w:tcW w:w="953" w:type="dxa"/>
            <w:tcBorders>
              <w:left w:val="nil"/>
              <w:right w:val="nil"/>
            </w:tcBorders>
            <w:shd w:val="clear" w:color="auto" w:fill="000000" w:themeFill="text1"/>
          </w:tcPr>
          <w:p>
            <w:pPr>
              <w:pStyle w:val="12"/>
              <w:rPr>
                <w:rFonts w:ascii="Times New Roman"/>
                <w:sz w:val="18"/>
              </w:rPr>
            </w:pPr>
          </w:p>
        </w:tc>
        <w:tc>
          <w:tcPr>
            <w:tcW w:w="1440" w:type="dxa"/>
            <w:tcBorders>
              <w:left w:val="nil"/>
              <w:bottom w:val="single" w:color="000000" w:sz="4" w:space="0"/>
              <w:right w:val="single" w:color="000000" w:sz="6" w:space="0"/>
            </w:tcBorders>
            <w:shd w:val="clear" w:color="auto" w:fill="000000" w:themeFill="text1"/>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7.1</w:t>
            </w:r>
          </w:p>
        </w:tc>
        <w:tc>
          <w:tcPr>
            <w:tcW w:w="7987" w:type="dxa"/>
            <w:tcBorders>
              <w:right w:val="nil"/>
            </w:tcBorders>
          </w:tcPr>
          <w:p>
            <w:pPr>
              <w:pStyle w:val="12"/>
              <w:spacing w:before="101"/>
              <w:ind w:left="72"/>
              <w:jc w:val="both"/>
              <w:rPr>
                <w:sz w:val="20"/>
                <w:lang w:val="en-GB"/>
              </w:rPr>
            </w:pPr>
            <w:r>
              <w:rPr>
                <w:sz w:val="20"/>
                <w:lang w:val="en-GB"/>
              </w:rPr>
              <w:t>Describe the product(s) or service(s) and geographic area(s) where the merger parties overlap, where they have a vertical relationship, or where they supply related products/services.</w:t>
            </w:r>
          </w:p>
          <w:p>
            <w:pPr>
              <w:pStyle w:val="12"/>
              <w:spacing w:before="101"/>
              <w:ind w:left="72"/>
              <w:jc w:val="both"/>
              <w:rPr>
                <w:b/>
                <w:bCs/>
                <w:sz w:val="20"/>
                <w:lang w:val="en-GB"/>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bottom w:val="single" w:color="000000"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shd w:val="clear" w:color="auto" w:fill="000000" w:themeFill="text1"/>
          </w:tcPr>
          <w:p>
            <w:pPr>
              <w:pStyle w:val="12"/>
              <w:numPr>
                <w:ilvl w:val="0"/>
                <w:numId w:val="6"/>
              </w:numPr>
              <w:spacing w:before="101"/>
              <w:rPr>
                <w:sz w:val="20"/>
              </w:rPr>
            </w:pPr>
          </w:p>
        </w:tc>
        <w:tc>
          <w:tcPr>
            <w:tcW w:w="7987" w:type="dxa"/>
            <w:tcBorders>
              <w:right w:val="nil"/>
            </w:tcBorders>
            <w:shd w:val="clear" w:color="auto" w:fill="000000" w:themeFill="text1"/>
          </w:tcPr>
          <w:p>
            <w:pPr>
              <w:pStyle w:val="12"/>
              <w:spacing w:before="101"/>
              <w:ind w:left="72"/>
              <w:rPr>
                <w:b/>
                <w:bCs/>
                <w:i/>
                <w:iCs/>
                <w:sz w:val="20"/>
                <w:lang w:val="en-GB"/>
              </w:rPr>
            </w:pPr>
            <w:r>
              <w:rPr>
                <w:b/>
                <w:bCs/>
                <w:sz w:val="20"/>
              </w:rPr>
              <w:t>STRUCTURE OF DEMAND AND SUPPLY IN AFFECTED MARKETS</w:t>
            </w:r>
          </w:p>
          <w:p>
            <w:pPr>
              <w:pStyle w:val="12"/>
              <w:spacing w:before="101"/>
              <w:ind w:left="72"/>
              <w:jc w:val="both"/>
              <w:rPr>
                <w:b/>
                <w:bCs/>
                <w:sz w:val="20"/>
                <w:lang w:val="en-GB"/>
              </w:rPr>
            </w:pPr>
          </w:p>
        </w:tc>
        <w:tc>
          <w:tcPr>
            <w:tcW w:w="953" w:type="dxa"/>
            <w:tcBorders>
              <w:left w:val="nil"/>
              <w:right w:val="nil"/>
            </w:tcBorders>
            <w:shd w:val="clear" w:color="auto" w:fill="000000" w:themeFill="text1"/>
          </w:tcPr>
          <w:p>
            <w:pPr>
              <w:pStyle w:val="12"/>
              <w:rPr>
                <w:rFonts w:ascii="Times New Roman"/>
                <w:sz w:val="18"/>
              </w:rPr>
            </w:pPr>
          </w:p>
        </w:tc>
        <w:tc>
          <w:tcPr>
            <w:tcW w:w="1440" w:type="dxa"/>
            <w:tcBorders>
              <w:left w:val="nil"/>
              <w:bottom w:val="single" w:color="000000" w:sz="4" w:space="0"/>
              <w:right w:val="single" w:color="000000" w:sz="6" w:space="0"/>
            </w:tcBorders>
            <w:shd w:val="clear" w:color="auto" w:fill="000000" w:themeFill="text1"/>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8.1 </w:t>
            </w:r>
          </w:p>
        </w:tc>
        <w:tc>
          <w:tcPr>
            <w:tcW w:w="7987" w:type="dxa"/>
            <w:tcBorders>
              <w:right w:val="nil"/>
            </w:tcBorders>
          </w:tcPr>
          <w:p>
            <w:pPr>
              <w:pStyle w:val="12"/>
              <w:spacing w:before="101"/>
              <w:jc w:val="both"/>
              <w:rPr>
                <w:sz w:val="20"/>
                <w:lang w:val="en-GB"/>
              </w:rPr>
            </w:pPr>
            <w:r>
              <w:rPr>
                <w:sz w:val="20"/>
                <w:lang w:val="en-GB"/>
              </w:rPr>
              <w:t>Identify (and explain the rationale for identifying):</w:t>
            </w:r>
          </w:p>
          <w:p>
            <w:pPr>
              <w:pStyle w:val="12"/>
              <w:numPr>
                <w:ilvl w:val="1"/>
                <w:numId w:val="13"/>
              </w:numPr>
              <w:spacing w:before="101"/>
              <w:ind w:left="646"/>
              <w:jc w:val="both"/>
              <w:rPr>
                <w:sz w:val="20"/>
                <w:lang w:val="en-GB"/>
              </w:rPr>
            </w:pPr>
            <w:r>
              <w:rPr>
                <w:sz w:val="20"/>
                <w:lang w:val="en-GB"/>
              </w:rPr>
              <w:t xml:space="preserve">the narrowest Affected product/service and geographic market(s) where the merger parties overlap, and (if the parties have a vertical relationship or supply related products/services) the narrowest Affected product/service and geographic market(s) at each level of the vertical supply chain and for each related product/service (the Narrowest Affected Market(s)). </w:t>
            </w:r>
          </w:p>
          <w:p>
            <w:pPr>
              <w:pStyle w:val="12"/>
              <w:numPr>
                <w:ilvl w:val="1"/>
                <w:numId w:val="11"/>
              </w:numPr>
              <w:spacing w:before="101"/>
              <w:ind w:left="646"/>
              <w:jc w:val="both"/>
              <w:rPr>
                <w:sz w:val="20"/>
                <w:lang w:val="en-GB"/>
              </w:rPr>
            </w:pPr>
            <w:r>
              <w:rPr>
                <w:sz w:val="20"/>
                <w:lang w:val="en-GB"/>
              </w:rPr>
              <w:t>any other plausible Affected product/service and geographic market(s) where the merger parties overlap, have a vertical relationship, or supply related products/services (together with the Narrowest Affected Market(s), the Affected Market(s)).</w:t>
            </w:r>
          </w:p>
          <w:p>
            <w:pPr>
              <w:pStyle w:val="12"/>
              <w:spacing w:before="101"/>
              <w:ind w:left="72"/>
              <w:rPr>
                <w:b/>
                <w:bCs/>
                <w:sz w:val="20"/>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bottom w:val="single" w:color="000000"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8.2. </w:t>
            </w:r>
          </w:p>
        </w:tc>
        <w:tc>
          <w:tcPr>
            <w:tcW w:w="7987" w:type="dxa"/>
            <w:tcBorders>
              <w:right w:val="nil"/>
            </w:tcBorders>
          </w:tcPr>
          <w:p>
            <w:pPr>
              <w:pStyle w:val="12"/>
              <w:spacing w:before="101"/>
              <w:jc w:val="both"/>
              <w:rPr>
                <w:sz w:val="20"/>
                <w:lang w:val="en-GB"/>
              </w:rPr>
            </w:pPr>
            <w:r>
              <w:rPr>
                <w:sz w:val="20"/>
                <w:lang w:val="en-GB"/>
              </w:rPr>
              <w:t>Provide the structure of supply and demand (by value and, where appropriate, volume) for the undertakings and each of their principal competitors for the affected markets;</w:t>
            </w:r>
          </w:p>
          <w:p>
            <w:pPr>
              <w:pStyle w:val="12"/>
              <w:spacing w:before="101"/>
              <w:ind w:left="72"/>
              <w:jc w:val="both"/>
              <w:rPr>
                <w:sz w:val="20"/>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8.3.</w:t>
            </w:r>
          </w:p>
        </w:tc>
        <w:tc>
          <w:tcPr>
            <w:tcW w:w="7987" w:type="dxa"/>
            <w:tcBorders>
              <w:right w:val="nil"/>
            </w:tcBorders>
          </w:tcPr>
          <w:p>
            <w:pPr>
              <w:pStyle w:val="12"/>
              <w:spacing w:before="101"/>
              <w:jc w:val="both"/>
              <w:rPr>
                <w:sz w:val="20"/>
                <w:lang w:val="en-GB"/>
              </w:rPr>
            </w:pPr>
            <w:r>
              <w:rPr>
                <w:sz w:val="20"/>
                <w:lang w:val="en-GB"/>
              </w:rPr>
              <w:t>Provide brief explanation on the following:</w:t>
            </w:r>
          </w:p>
          <w:p>
            <w:pPr>
              <w:pStyle w:val="12"/>
              <w:numPr>
                <w:ilvl w:val="0"/>
                <w:numId w:val="14"/>
              </w:numPr>
              <w:spacing w:before="101"/>
              <w:jc w:val="both"/>
              <w:rPr>
                <w:sz w:val="20"/>
                <w:lang w:val="en-GB"/>
              </w:rPr>
            </w:pPr>
            <w:r>
              <w:rPr>
                <w:sz w:val="20"/>
                <w:lang w:val="en-GB"/>
              </w:rPr>
              <w:t>Degree of product differentiation in each of the affected markets;</w:t>
            </w:r>
          </w:p>
          <w:p>
            <w:pPr>
              <w:pStyle w:val="12"/>
              <w:numPr>
                <w:ilvl w:val="0"/>
                <w:numId w:val="14"/>
              </w:numPr>
              <w:spacing w:before="101"/>
              <w:jc w:val="both"/>
              <w:rPr>
                <w:sz w:val="20"/>
                <w:lang w:val="en-GB"/>
              </w:rPr>
            </w:pPr>
            <w:r>
              <w:rPr>
                <w:sz w:val="20"/>
                <w:lang w:val="en-GB"/>
              </w:rPr>
              <w:t>Significant entry into any affected market in the last five years;</w:t>
            </w:r>
          </w:p>
          <w:p>
            <w:pPr>
              <w:pStyle w:val="12"/>
              <w:numPr>
                <w:ilvl w:val="0"/>
                <w:numId w:val="14"/>
              </w:numPr>
              <w:spacing w:before="101"/>
              <w:jc w:val="both"/>
              <w:rPr>
                <w:sz w:val="20"/>
                <w:lang w:val="en-GB"/>
              </w:rPr>
            </w:pPr>
            <w:r>
              <w:rPr>
                <w:sz w:val="20"/>
                <w:lang w:val="en-GB"/>
              </w:rPr>
              <w:t>Significant exit from any affected market in the last five years.</w:t>
            </w:r>
          </w:p>
          <w:p>
            <w:pPr>
              <w:pStyle w:val="12"/>
              <w:spacing w:before="101"/>
              <w:ind w:left="72"/>
              <w:jc w:val="both"/>
              <w:rPr>
                <w:sz w:val="20"/>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8.4.</w:t>
            </w:r>
          </w:p>
        </w:tc>
        <w:tc>
          <w:tcPr>
            <w:tcW w:w="7987" w:type="dxa"/>
            <w:tcBorders>
              <w:right w:val="nil"/>
            </w:tcBorders>
          </w:tcPr>
          <w:p>
            <w:pPr>
              <w:pStyle w:val="12"/>
              <w:spacing w:before="101"/>
              <w:jc w:val="both"/>
              <w:rPr>
                <w:sz w:val="20"/>
                <w:lang w:val="en-GB"/>
              </w:rPr>
            </w:pPr>
            <w:r>
              <w:rPr>
                <w:sz w:val="20"/>
                <w:lang w:val="en-GB"/>
              </w:rPr>
              <w:t>Provide a description of how competition works in each Affected Market where the merger parties overlap. The description of such competitive dynamics in the Affected Market should include (but not necessarily be limited to):</w:t>
            </w:r>
          </w:p>
          <w:p>
            <w:pPr>
              <w:pStyle w:val="12"/>
              <w:numPr>
                <w:ilvl w:val="1"/>
                <w:numId w:val="15"/>
              </w:numPr>
              <w:spacing w:before="101"/>
              <w:jc w:val="both"/>
              <w:rPr>
                <w:sz w:val="20"/>
                <w:lang w:val="en-GB"/>
              </w:rPr>
            </w:pPr>
            <w:r>
              <w:rPr>
                <w:sz w:val="20"/>
                <w:lang w:val="en-GB"/>
              </w:rPr>
              <w:t>information on the competitive constraint posed by each of the merger parties on each other and on the competitive constraint posed by the other principal suppliers in the Affected Market(s);</w:t>
            </w:r>
          </w:p>
          <w:p>
            <w:pPr>
              <w:pStyle w:val="12"/>
              <w:numPr>
                <w:ilvl w:val="1"/>
                <w:numId w:val="11"/>
              </w:numPr>
              <w:spacing w:before="101"/>
              <w:jc w:val="both"/>
              <w:rPr>
                <w:sz w:val="20"/>
                <w:lang w:val="en-GB"/>
              </w:rPr>
            </w:pPr>
            <w:r>
              <w:rPr>
                <w:sz w:val="20"/>
                <w:lang w:val="en-GB"/>
              </w:rPr>
              <w:t>an explanation of what drives customer choice for the overlap product/services. Where relevant, the response should include the identification of separate customer groups, if any, and an explanation of how the competitive dynamics differ across these customer groups;</w:t>
            </w:r>
          </w:p>
          <w:p>
            <w:pPr>
              <w:pStyle w:val="12"/>
              <w:numPr>
                <w:ilvl w:val="1"/>
                <w:numId w:val="11"/>
              </w:numPr>
              <w:spacing w:before="101"/>
              <w:jc w:val="both"/>
              <w:rPr>
                <w:sz w:val="20"/>
                <w:lang w:val="en-GB"/>
              </w:rPr>
            </w:pPr>
            <w:r>
              <w:rPr>
                <w:sz w:val="20"/>
                <w:lang w:val="en-GB"/>
              </w:rPr>
              <w:t>a description of the parameters of competition (for example, price, quality, service, innovation) and their importance relative to one another;</w:t>
            </w:r>
          </w:p>
          <w:p>
            <w:pPr>
              <w:pStyle w:val="12"/>
              <w:numPr>
                <w:ilvl w:val="1"/>
                <w:numId w:val="11"/>
              </w:numPr>
              <w:spacing w:before="101"/>
              <w:jc w:val="both"/>
              <w:rPr>
                <w:sz w:val="20"/>
                <w:lang w:val="en-GB"/>
              </w:rPr>
            </w:pPr>
            <w:r>
              <w:rPr>
                <w:sz w:val="20"/>
                <w:lang w:val="en-GB"/>
              </w:rPr>
              <w:t>an explanation of the role and significance of product/service differentiation (including an explanation of the extent to which the merger parties’ products/services are differentiated);</w:t>
            </w:r>
          </w:p>
          <w:p>
            <w:pPr>
              <w:pStyle w:val="12"/>
              <w:numPr>
                <w:ilvl w:val="1"/>
                <w:numId w:val="11"/>
              </w:numPr>
              <w:spacing w:before="101"/>
              <w:jc w:val="both"/>
              <w:rPr>
                <w:sz w:val="20"/>
                <w:lang w:val="en-GB"/>
              </w:rPr>
            </w:pPr>
            <w:r>
              <w:rPr>
                <w:sz w:val="20"/>
                <w:lang w:val="en-GB"/>
              </w:rPr>
              <w:t>an explanation of how pricing is determined (for example, whether set by suppliers, negotiated between suppliers and customers, or the result of a bidding process organised by customers), including, in appropriate cases (as explained below), supporting documentation; and</w:t>
            </w:r>
          </w:p>
          <w:p>
            <w:pPr>
              <w:pStyle w:val="12"/>
              <w:numPr>
                <w:ilvl w:val="1"/>
                <w:numId w:val="11"/>
              </w:numPr>
              <w:spacing w:before="101"/>
              <w:jc w:val="both"/>
              <w:rPr>
                <w:sz w:val="20"/>
                <w:lang w:val="en-GB"/>
              </w:rPr>
            </w:pPr>
            <w:r>
              <w:rPr>
                <w:sz w:val="20"/>
                <w:lang w:val="en-GB"/>
              </w:rPr>
              <w:t>an explanation of the supply chain (including distribution channels) for the product(s)/services(s), and of any differences between separate geographic areas, where the merger parties overlap, in relation to the supply of the same products/services.</w:t>
            </w: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8.5.</w:t>
            </w:r>
          </w:p>
        </w:tc>
        <w:tc>
          <w:tcPr>
            <w:tcW w:w="7987" w:type="dxa"/>
            <w:tcBorders>
              <w:right w:val="nil"/>
            </w:tcBorders>
          </w:tcPr>
          <w:p>
            <w:pPr>
              <w:pStyle w:val="12"/>
              <w:spacing w:before="101"/>
              <w:ind w:left="72"/>
              <w:jc w:val="both"/>
              <w:rPr>
                <w:sz w:val="20"/>
                <w:lang w:val="en-GB"/>
              </w:rPr>
            </w:pPr>
            <w:r>
              <w:rPr>
                <w:sz w:val="20"/>
                <w:lang w:val="en-GB"/>
              </w:rPr>
              <w:t>For Affected Markets characterised by bidding processes and/or where customers typically issue requests for quotations, provide bidding data setting out any bids made by each of the merger parties to win business in the overlapping markets.</w:t>
            </w:r>
          </w:p>
          <w:p>
            <w:pPr>
              <w:pStyle w:val="12"/>
              <w:spacing w:before="101"/>
              <w:ind w:left="72"/>
              <w:jc w:val="both"/>
              <w:rPr>
                <w:sz w:val="20"/>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8.6.</w:t>
            </w:r>
          </w:p>
        </w:tc>
        <w:tc>
          <w:tcPr>
            <w:tcW w:w="7987" w:type="dxa"/>
            <w:tcBorders>
              <w:right w:val="nil"/>
            </w:tcBorders>
          </w:tcPr>
          <w:p>
            <w:pPr>
              <w:pStyle w:val="12"/>
              <w:spacing w:before="101"/>
              <w:ind w:left="72"/>
              <w:jc w:val="both"/>
              <w:rPr>
                <w:sz w:val="20"/>
                <w:lang w:val="en-GB"/>
              </w:rPr>
            </w:pPr>
            <w:r>
              <w:rPr>
                <w:sz w:val="20"/>
                <w:lang w:val="en-GB"/>
              </w:rPr>
              <w:t>If applicable, for any product(s) (including raw materials) or service(s) which the merger parties both purchase, provide details of the merger parties’ ability to obtain more favourable commercial conditions from suppliers as a result of this merger and the effects, if any, of such increased ability on competition at any levels of the supply chain.</w:t>
            </w:r>
          </w:p>
          <w:p>
            <w:pPr>
              <w:pStyle w:val="12"/>
              <w:spacing w:before="101"/>
              <w:ind w:left="72"/>
              <w:jc w:val="both"/>
              <w:rPr>
                <w:sz w:val="20"/>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8.7.</w:t>
            </w:r>
          </w:p>
        </w:tc>
        <w:tc>
          <w:tcPr>
            <w:tcW w:w="7987" w:type="dxa"/>
            <w:tcBorders>
              <w:right w:val="nil"/>
            </w:tcBorders>
          </w:tcPr>
          <w:p>
            <w:pPr>
              <w:pStyle w:val="12"/>
              <w:spacing w:before="101"/>
              <w:ind w:left="72"/>
              <w:jc w:val="both"/>
              <w:rPr>
                <w:sz w:val="20"/>
                <w:lang w:val="en-GB"/>
              </w:rPr>
            </w:pPr>
            <w:r>
              <w:rPr>
                <w:sz w:val="20"/>
                <w:lang w:val="en-GB"/>
              </w:rPr>
              <w:t>Describe whether any merger party has plans or has attempted in the last three years to start supplying product(s)/service(s)/geographic area(s) which it does not currently supply but which the other merger party is already supplying (or expected to supply). If so:</w:t>
            </w:r>
          </w:p>
          <w:p>
            <w:pPr>
              <w:pStyle w:val="12"/>
              <w:numPr>
                <w:ilvl w:val="1"/>
                <w:numId w:val="16"/>
              </w:numPr>
              <w:spacing w:before="101"/>
              <w:jc w:val="both"/>
              <w:rPr>
                <w:sz w:val="20"/>
                <w:lang w:val="en-GB"/>
              </w:rPr>
            </w:pPr>
            <w:r>
              <w:rPr>
                <w:sz w:val="20"/>
                <w:lang w:val="en-GB"/>
              </w:rPr>
              <w:t>Provide any internal documents setting out plans of any merger party to expand in the overlapping product(s), service(s) and/or geographic area(s) or to enter a market where another merger party is operating.</w:t>
            </w:r>
          </w:p>
          <w:p>
            <w:pPr>
              <w:pStyle w:val="12"/>
              <w:numPr>
                <w:ilvl w:val="1"/>
                <w:numId w:val="11"/>
              </w:numPr>
              <w:spacing w:before="101"/>
              <w:jc w:val="both"/>
              <w:rPr>
                <w:sz w:val="20"/>
                <w:lang w:val="en-GB"/>
              </w:rPr>
            </w:pPr>
            <w:r>
              <w:rPr>
                <w:sz w:val="20"/>
                <w:lang w:val="en-GB"/>
              </w:rPr>
              <w:t>Explain what barriers to entry or expansion exist for each merger party to start supplying product(s)/service(s)/geographic area(s) which it does not currently supply but which the other merger party is already supplying (or expected to supply).</w:t>
            </w:r>
          </w:p>
          <w:p>
            <w:pPr>
              <w:pStyle w:val="12"/>
              <w:spacing w:before="101"/>
              <w:ind w:left="72"/>
              <w:jc w:val="both"/>
              <w:rPr>
                <w:sz w:val="20"/>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8.8</w:t>
            </w:r>
          </w:p>
        </w:tc>
        <w:tc>
          <w:tcPr>
            <w:tcW w:w="7987" w:type="dxa"/>
            <w:tcBorders>
              <w:right w:val="nil"/>
            </w:tcBorders>
          </w:tcPr>
          <w:p>
            <w:pPr>
              <w:pStyle w:val="12"/>
              <w:spacing w:before="101"/>
              <w:ind w:left="72"/>
              <w:jc w:val="both"/>
              <w:rPr>
                <w:sz w:val="20"/>
                <w:lang w:val="en-GB"/>
              </w:rPr>
            </w:pPr>
            <w:r>
              <w:rPr>
                <w:sz w:val="20"/>
                <w:lang w:val="en-GB"/>
              </w:rPr>
              <w:t>If the merger parties operate at different levels of the supply chain (that is, a merger party is engaged in activities upstream or downstream of the activities in which the other merger party is engaged), describe the impact of the merger on the ability and incentive of the merged entity to foreclose rivals (including partial and/or full foreclosure) post-transaction, either by limiting the supply of key inputs or access to customers.</w:t>
            </w:r>
          </w:p>
          <w:p>
            <w:pPr>
              <w:pStyle w:val="12"/>
              <w:spacing w:before="101"/>
              <w:ind w:left="72"/>
              <w:jc w:val="both"/>
              <w:rPr>
                <w:sz w:val="20"/>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8.9</w:t>
            </w:r>
          </w:p>
        </w:tc>
        <w:tc>
          <w:tcPr>
            <w:tcW w:w="7987" w:type="dxa"/>
            <w:tcBorders>
              <w:right w:val="nil"/>
            </w:tcBorders>
          </w:tcPr>
          <w:p>
            <w:pPr>
              <w:pStyle w:val="12"/>
              <w:spacing w:before="101"/>
              <w:ind w:left="72"/>
              <w:jc w:val="both"/>
              <w:rPr>
                <w:sz w:val="20"/>
                <w:lang w:val="en-GB"/>
              </w:rPr>
            </w:pPr>
            <w:r>
              <w:rPr>
                <w:sz w:val="20"/>
                <w:lang w:val="en-GB"/>
              </w:rPr>
              <w:t>If the merger parties are active in “related” markets (eg products that are complementary or that belong to a range of products generally purchased by the same set of customers) and their individual share in any such related Affected Market exceeds 30%, describe the impact of the merger on the ability and incentive of the merged entity to foreclose rivals (including partial and/or full foreclosure) post-transaction, either by limiting the supply of inputs or access to customers.</w:t>
            </w:r>
          </w:p>
          <w:p>
            <w:pPr>
              <w:pStyle w:val="12"/>
              <w:spacing w:before="101"/>
              <w:ind w:left="72"/>
              <w:jc w:val="both"/>
              <w:rPr>
                <w:sz w:val="20"/>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8.10 </w:t>
            </w:r>
          </w:p>
        </w:tc>
        <w:tc>
          <w:tcPr>
            <w:tcW w:w="7987" w:type="dxa"/>
            <w:tcBorders>
              <w:right w:val="nil"/>
            </w:tcBorders>
          </w:tcPr>
          <w:p>
            <w:pPr>
              <w:pStyle w:val="12"/>
              <w:spacing w:before="101"/>
              <w:ind w:left="72"/>
              <w:jc w:val="both"/>
              <w:rPr>
                <w:sz w:val="20"/>
                <w:lang w:val="en-GB"/>
              </w:rPr>
            </w:pPr>
            <w:r>
              <w:rPr>
                <w:sz w:val="20"/>
                <w:lang w:val="en-GB"/>
              </w:rPr>
              <w:t>Where notifying parties would like the Commission to consider whether or not the merged entity will be subject to constraints from potential entry or expansion, provide a description of the barriers to entry and expansion with respect to the Affected Market(s).</w:t>
            </w:r>
          </w:p>
          <w:p>
            <w:pPr>
              <w:pStyle w:val="12"/>
              <w:spacing w:before="101"/>
              <w:ind w:left="72"/>
              <w:jc w:val="both"/>
              <w:rPr>
                <w:sz w:val="20"/>
                <w:lang w:val="en-GB"/>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8.11</w:t>
            </w:r>
          </w:p>
        </w:tc>
        <w:tc>
          <w:tcPr>
            <w:tcW w:w="7987" w:type="dxa"/>
            <w:tcBorders>
              <w:right w:val="nil"/>
            </w:tcBorders>
          </w:tcPr>
          <w:p>
            <w:pPr>
              <w:pStyle w:val="12"/>
              <w:spacing w:before="101"/>
              <w:ind w:left="72"/>
              <w:jc w:val="both"/>
              <w:rPr>
                <w:sz w:val="20"/>
                <w:lang w:val="en-GB"/>
              </w:rPr>
            </w:pPr>
            <w:r>
              <w:rPr>
                <w:sz w:val="20"/>
                <w:lang w:val="en-GB"/>
              </w:rPr>
              <w:t>If the notifying parties wish the Commission to consider potential entry or expansion in its competitive assessment, notifying parties should provide:</w:t>
            </w:r>
          </w:p>
          <w:p>
            <w:pPr>
              <w:pStyle w:val="12"/>
              <w:numPr>
                <w:ilvl w:val="1"/>
                <w:numId w:val="17"/>
              </w:numPr>
              <w:spacing w:before="101"/>
              <w:jc w:val="both"/>
              <w:rPr>
                <w:sz w:val="20"/>
                <w:lang w:val="en-GB"/>
              </w:rPr>
            </w:pPr>
            <w:r>
              <w:rPr>
                <w:sz w:val="20"/>
                <w:lang w:val="en-GB"/>
              </w:rPr>
              <w:t xml:space="preserve">details of any expansion, entry or exit in any of the Affected Markets over the past five years, and </w:t>
            </w:r>
          </w:p>
          <w:p>
            <w:pPr>
              <w:pStyle w:val="12"/>
              <w:numPr>
                <w:ilvl w:val="1"/>
                <w:numId w:val="11"/>
              </w:numPr>
              <w:spacing w:before="101"/>
              <w:jc w:val="both"/>
              <w:rPr>
                <w:i/>
                <w:sz w:val="20"/>
                <w:lang w:val="en-GB"/>
              </w:rPr>
            </w:pPr>
            <w:r>
              <w:rPr>
                <w:sz w:val="20"/>
                <w:lang w:val="en-GB"/>
              </w:rPr>
              <w:t xml:space="preserve">details of any companies that the notifying parties believe are likely, post-merger, to enter or expand into any of the Affected Markets in a sufficiently timely manner so as to adequately constrain the merged entity, </w:t>
            </w:r>
          </w:p>
          <w:p>
            <w:pPr>
              <w:pStyle w:val="12"/>
              <w:spacing w:before="101"/>
              <w:ind w:left="72"/>
              <w:jc w:val="both"/>
              <w:rPr>
                <w:sz w:val="20"/>
                <w:lang w:val="en-GB"/>
              </w:rPr>
            </w:pPr>
            <w:r>
              <w:rPr>
                <w:sz w:val="20"/>
                <w:lang w:val="en-GB"/>
              </w:rPr>
              <w:t>including, in either case, any available evidence for that submission and contact details for any companies named.</w:t>
            </w:r>
          </w:p>
          <w:p>
            <w:pPr>
              <w:pStyle w:val="12"/>
              <w:spacing w:before="101"/>
              <w:ind w:left="72"/>
              <w:jc w:val="both"/>
              <w:rPr>
                <w:sz w:val="20"/>
                <w:lang w:val="en-GB"/>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8.12</w:t>
            </w:r>
          </w:p>
        </w:tc>
        <w:tc>
          <w:tcPr>
            <w:tcW w:w="7987" w:type="dxa"/>
            <w:tcBorders>
              <w:right w:val="nil"/>
            </w:tcBorders>
          </w:tcPr>
          <w:p>
            <w:pPr>
              <w:pStyle w:val="12"/>
              <w:spacing w:before="101"/>
              <w:ind w:left="72"/>
              <w:jc w:val="both"/>
              <w:rPr>
                <w:sz w:val="20"/>
                <w:lang w:val="en-GB"/>
              </w:rPr>
            </w:pPr>
            <w:r>
              <w:rPr>
                <w:sz w:val="20"/>
                <w:lang w:val="en-GB"/>
              </w:rPr>
              <w:t>Where notifying parties would like the Commission to consider whether or not the merged entity will be subject to countervailing buyer power, explain, with evidence where available, how the merged entity will be subject to this constraint.</w:t>
            </w:r>
          </w:p>
          <w:p>
            <w:pPr>
              <w:pStyle w:val="12"/>
              <w:spacing w:before="101"/>
              <w:ind w:left="72"/>
              <w:jc w:val="both"/>
              <w:rPr>
                <w:sz w:val="20"/>
                <w:lang w:val="en-GB"/>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8.13</w:t>
            </w:r>
          </w:p>
        </w:tc>
        <w:tc>
          <w:tcPr>
            <w:tcW w:w="7987" w:type="dxa"/>
            <w:tcBorders>
              <w:right w:val="nil"/>
            </w:tcBorders>
          </w:tcPr>
          <w:p>
            <w:pPr>
              <w:pStyle w:val="12"/>
              <w:spacing w:before="101"/>
              <w:ind w:left="72"/>
              <w:jc w:val="both"/>
              <w:rPr>
                <w:sz w:val="20"/>
                <w:lang w:val="en-GB"/>
              </w:rPr>
            </w:pPr>
            <w:r>
              <w:rPr>
                <w:sz w:val="20"/>
                <w:lang w:val="en-GB"/>
              </w:rPr>
              <w:t>Where notifying parties would like the Commission specifically to consider at phase 1 any efficiencies or relevant customer benefits that the notifying parties believe will arise from the merger, describe such efficiencies and provide any documents prepared internally or by external consultants that discuss such expected efficiencies or relevant customer benefits.</w:t>
            </w:r>
          </w:p>
          <w:p>
            <w:pPr>
              <w:pStyle w:val="12"/>
              <w:spacing w:before="101"/>
              <w:ind w:left="72"/>
              <w:jc w:val="both"/>
              <w:rPr>
                <w:sz w:val="20"/>
                <w:lang w:val="en-GB"/>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8.14</w:t>
            </w:r>
          </w:p>
        </w:tc>
        <w:tc>
          <w:tcPr>
            <w:tcW w:w="7987" w:type="dxa"/>
            <w:tcBorders>
              <w:right w:val="nil"/>
            </w:tcBorders>
          </w:tcPr>
          <w:p>
            <w:pPr>
              <w:pStyle w:val="12"/>
              <w:spacing w:before="101"/>
              <w:ind w:left="72"/>
              <w:jc w:val="both"/>
              <w:rPr>
                <w:sz w:val="20"/>
                <w:lang w:val="en-GB"/>
              </w:rPr>
            </w:pPr>
            <w:r>
              <w:rPr>
                <w:sz w:val="20"/>
                <w:lang w:val="en-GB"/>
              </w:rPr>
              <w:t>Provide any other information that the notifying parties consider may be relevant to the Commission’s Phase 1 investigation.</w:t>
            </w:r>
          </w:p>
          <w:p>
            <w:pPr>
              <w:pStyle w:val="12"/>
              <w:spacing w:before="101"/>
              <w:ind w:left="72"/>
              <w:jc w:val="both"/>
              <w:rPr>
                <w:sz w:val="20"/>
                <w:lang w:val="en-GB"/>
              </w:rPr>
            </w:pPr>
          </w:p>
        </w:tc>
        <w:tc>
          <w:tcPr>
            <w:tcW w:w="953" w:type="dxa"/>
            <w:tcBorders>
              <w:left w:val="nil"/>
              <w:right w:val="single" w:color="auto" w:sz="4" w:space="0"/>
            </w:tcBorders>
          </w:tcPr>
          <w:p>
            <w:pPr>
              <w:pStyle w:val="12"/>
              <w:rPr>
                <w:rFonts w:ascii="Times New Roman"/>
                <w:sz w:val="18"/>
              </w:rPr>
            </w:pPr>
          </w:p>
        </w:tc>
        <w:tc>
          <w:tcPr>
            <w:tcW w:w="1440" w:type="dxa"/>
            <w:tcBorders>
              <w:left w:val="single" w:color="auto" w:sz="4" w:space="0"/>
              <w:bottom w:val="single" w:color="000000"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shd w:val="clear" w:color="auto" w:fill="000000" w:themeFill="text1"/>
          </w:tcPr>
          <w:p>
            <w:pPr>
              <w:pStyle w:val="12"/>
              <w:numPr>
                <w:ilvl w:val="0"/>
                <w:numId w:val="6"/>
              </w:numPr>
              <w:spacing w:before="101"/>
              <w:rPr>
                <w:sz w:val="20"/>
              </w:rPr>
            </w:pPr>
          </w:p>
        </w:tc>
        <w:tc>
          <w:tcPr>
            <w:tcW w:w="7987" w:type="dxa"/>
            <w:tcBorders>
              <w:right w:val="nil"/>
            </w:tcBorders>
            <w:shd w:val="clear" w:color="auto" w:fill="000000" w:themeFill="text1"/>
          </w:tcPr>
          <w:p>
            <w:pPr>
              <w:pStyle w:val="12"/>
              <w:spacing w:before="101"/>
              <w:ind w:left="72"/>
              <w:rPr>
                <w:b/>
                <w:bCs/>
                <w:sz w:val="20"/>
                <w:lang w:val="en-GB"/>
              </w:rPr>
            </w:pPr>
            <w:r>
              <w:rPr>
                <w:b/>
                <w:bCs/>
                <w:sz w:val="20"/>
                <w:lang w:val="en-GB"/>
              </w:rPr>
              <w:t>THIRD PARTY CONTACT DETAILS</w:t>
            </w:r>
          </w:p>
          <w:p>
            <w:pPr>
              <w:pStyle w:val="12"/>
              <w:spacing w:before="101"/>
              <w:ind w:left="72"/>
              <w:rPr>
                <w:b/>
                <w:bCs/>
                <w:sz w:val="20"/>
                <w:lang w:val="en-GB"/>
              </w:rPr>
            </w:pPr>
          </w:p>
        </w:tc>
        <w:tc>
          <w:tcPr>
            <w:tcW w:w="953" w:type="dxa"/>
            <w:tcBorders>
              <w:left w:val="nil"/>
              <w:right w:val="nil"/>
            </w:tcBorders>
            <w:shd w:val="clear" w:color="auto" w:fill="000000" w:themeFill="text1"/>
          </w:tcPr>
          <w:p>
            <w:pPr>
              <w:pStyle w:val="12"/>
              <w:rPr>
                <w:rFonts w:ascii="Times New Roman"/>
                <w:sz w:val="18"/>
              </w:rPr>
            </w:pPr>
          </w:p>
        </w:tc>
        <w:tc>
          <w:tcPr>
            <w:tcW w:w="1440" w:type="dxa"/>
            <w:tcBorders>
              <w:left w:val="nil"/>
              <w:right w:val="single" w:color="000000" w:sz="6" w:space="0"/>
            </w:tcBorders>
            <w:shd w:val="clear" w:color="auto" w:fill="000000" w:themeFill="text1"/>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9.1 </w:t>
            </w:r>
          </w:p>
        </w:tc>
        <w:tc>
          <w:tcPr>
            <w:tcW w:w="7987" w:type="dxa"/>
            <w:tcBorders>
              <w:right w:val="nil"/>
            </w:tcBorders>
          </w:tcPr>
          <w:p>
            <w:pPr>
              <w:pStyle w:val="12"/>
              <w:spacing w:before="101"/>
              <w:ind w:left="72"/>
              <w:jc w:val="both"/>
              <w:rPr>
                <w:sz w:val="20"/>
                <w:lang w:val="en-GB"/>
              </w:rPr>
            </w:pPr>
            <w:r>
              <w:rPr>
                <w:sz w:val="20"/>
                <w:lang w:val="en-GB"/>
              </w:rPr>
              <w:t>Provide contact details for the relevant competitors and customers of the merger parties for (where applicable):</w:t>
            </w:r>
          </w:p>
          <w:p>
            <w:pPr>
              <w:pStyle w:val="12"/>
              <w:numPr>
                <w:ilvl w:val="1"/>
                <w:numId w:val="18"/>
              </w:numPr>
              <w:spacing w:before="101"/>
              <w:jc w:val="both"/>
              <w:rPr>
                <w:sz w:val="20"/>
                <w:lang w:val="en-GB"/>
              </w:rPr>
            </w:pPr>
            <w:r>
              <w:rPr>
                <w:sz w:val="20"/>
                <w:lang w:val="en-GB"/>
              </w:rPr>
              <w:t xml:space="preserve">each of the Affected Markets in which they overlap; </w:t>
            </w:r>
          </w:p>
          <w:p>
            <w:pPr>
              <w:pStyle w:val="12"/>
              <w:numPr>
                <w:ilvl w:val="1"/>
                <w:numId w:val="11"/>
              </w:numPr>
              <w:spacing w:before="101"/>
              <w:jc w:val="both"/>
              <w:rPr>
                <w:sz w:val="20"/>
                <w:lang w:val="en-GB"/>
              </w:rPr>
            </w:pPr>
            <w:r>
              <w:rPr>
                <w:sz w:val="20"/>
                <w:lang w:val="en-GB"/>
              </w:rPr>
              <w:t>each of the Affected Markets in which the merger parties have a vertical relationship (providing contact details for the relevant competitors and customers of the merger parties in the upstream and downstream markets on which each merger party is active); and</w:t>
            </w:r>
          </w:p>
          <w:p>
            <w:pPr>
              <w:pStyle w:val="12"/>
              <w:numPr>
                <w:ilvl w:val="1"/>
                <w:numId w:val="11"/>
              </w:numPr>
              <w:spacing w:before="101"/>
              <w:jc w:val="both"/>
              <w:rPr>
                <w:sz w:val="20"/>
                <w:lang w:val="en-GB"/>
              </w:rPr>
            </w:pPr>
            <w:r>
              <w:rPr>
                <w:sz w:val="20"/>
                <w:lang w:val="en-GB"/>
              </w:rPr>
              <w:t>each of the Affected Markets in which each of the merger parties provides related products/services.</w:t>
            </w:r>
          </w:p>
          <w:p>
            <w:pPr>
              <w:pStyle w:val="12"/>
              <w:spacing w:before="101"/>
              <w:ind w:left="72"/>
              <w:jc w:val="both"/>
              <w:rPr>
                <w:sz w:val="20"/>
                <w:lang w:val="en-GB"/>
              </w:rPr>
            </w:pPr>
          </w:p>
        </w:tc>
        <w:tc>
          <w:tcPr>
            <w:tcW w:w="953" w:type="dxa"/>
            <w:tcBorders>
              <w:left w:val="nil"/>
              <w:right w:val="single" w:color="auto" w:sz="4" w:space="0"/>
            </w:tcBorders>
          </w:tcPr>
          <w:p>
            <w:pPr>
              <w:pStyle w:val="12"/>
              <w:jc w:val="both"/>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9.2 </w:t>
            </w:r>
          </w:p>
        </w:tc>
        <w:tc>
          <w:tcPr>
            <w:tcW w:w="7987" w:type="dxa"/>
            <w:tcBorders>
              <w:right w:val="nil"/>
            </w:tcBorders>
          </w:tcPr>
          <w:p>
            <w:pPr>
              <w:pStyle w:val="12"/>
              <w:spacing w:before="101"/>
              <w:ind w:left="72"/>
              <w:jc w:val="both"/>
              <w:rPr>
                <w:sz w:val="20"/>
                <w:lang w:val="en-GB"/>
              </w:rPr>
            </w:pPr>
            <w:r>
              <w:rPr>
                <w:sz w:val="20"/>
                <w:lang w:val="en-GB"/>
              </w:rPr>
              <w:t>To the extent applicable, provide contact details for relevant suppliers providing an estimate of the annual value and/or volume of purchases.</w:t>
            </w:r>
          </w:p>
          <w:p>
            <w:pPr>
              <w:pStyle w:val="12"/>
              <w:spacing w:before="101"/>
              <w:ind w:left="72"/>
              <w:jc w:val="both"/>
              <w:rPr>
                <w:sz w:val="20"/>
                <w:lang w:val="en-GB"/>
              </w:rPr>
            </w:pPr>
          </w:p>
        </w:tc>
        <w:tc>
          <w:tcPr>
            <w:tcW w:w="953" w:type="dxa"/>
            <w:tcBorders>
              <w:left w:val="nil"/>
              <w:right w:val="single" w:color="auto" w:sz="4" w:space="0"/>
            </w:tcBorders>
          </w:tcPr>
          <w:p>
            <w:pPr>
              <w:pStyle w:val="12"/>
              <w:jc w:val="both"/>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9.3 </w:t>
            </w:r>
          </w:p>
        </w:tc>
        <w:tc>
          <w:tcPr>
            <w:tcW w:w="7987" w:type="dxa"/>
            <w:tcBorders>
              <w:right w:val="nil"/>
            </w:tcBorders>
          </w:tcPr>
          <w:p>
            <w:pPr>
              <w:pStyle w:val="12"/>
              <w:spacing w:before="101"/>
              <w:ind w:left="72"/>
              <w:jc w:val="both"/>
              <w:rPr>
                <w:sz w:val="20"/>
                <w:lang w:val="en-GB"/>
              </w:rPr>
            </w:pPr>
            <w:r>
              <w:rPr>
                <w:sz w:val="20"/>
                <w:lang w:val="en-GB"/>
              </w:rPr>
              <w:t>To the extent applicable, provide contact details for each of the companies that the notifying parties consider are likely to enter and expand into any of the Affected Markets.</w:t>
            </w:r>
          </w:p>
          <w:p>
            <w:pPr>
              <w:pStyle w:val="12"/>
              <w:spacing w:before="101"/>
              <w:ind w:left="72"/>
              <w:jc w:val="both"/>
              <w:rPr>
                <w:sz w:val="20"/>
                <w:lang w:val="en-GB"/>
              </w:rPr>
            </w:pPr>
          </w:p>
        </w:tc>
        <w:tc>
          <w:tcPr>
            <w:tcW w:w="953" w:type="dxa"/>
            <w:tcBorders>
              <w:left w:val="nil"/>
              <w:right w:val="single" w:color="auto" w:sz="4" w:space="0"/>
            </w:tcBorders>
          </w:tcPr>
          <w:p>
            <w:pPr>
              <w:pStyle w:val="12"/>
              <w:jc w:val="both"/>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9.4</w:t>
            </w:r>
          </w:p>
        </w:tc>
        <w:tc>
          <w:tcPr>
            <w:tcW w:w="7987" w:type="dxa"/>
            <w:tcBorders>
              <w:right w:val="nil"/>
            </w:tcBorders>
          </w:tcPr>
          <w:p>
            <w:pPr>
              <w:pStyle w:val="12"/>
              <w:spacing w:before="101"/>
              <w:ind w:left="72"/>
              <w:jc w:val="both"/>
              <w:rPr>
                <w:sz w:val="20"/>
                <w:lang w:val="en-GB"/>
              </w:rPr>
            </w:pPr>
            <w:r>
              <w:rPr>
                <w:sz w:val="20"/>
                <w:lang w:val="en-GB"/>
              </w:rPr>
              <w:t>Provide the name and contact details, including address, and email address and telephone number, of:</w:t>
            </w:r>
          </w:p>
          <w:p>
            <w:pPr>
              <w:pStyle w:val="12"/>
              <w:numPr>
                <w:ilvl w:val="1"/>
                <w:numId w:val="19"/>
              </w:numPr>
              <w:spacing w:before="101"/>
              <w:jc w:val="both"/>
              <w:rPr>
                <w:sz w:val="20"/>
                <w:lang w:val="en-GB"/>
              </w:rPr>
            </w:pPr>
            <w:r>
              <w:rPr>
                <w:sz w:val="20"/>
                <w:lang w:val="en-GB"/>
              </w:rPr>
              <w:t xml:space="preserve">any relevant regulatory authorities covering the industry in which the merger parties overlap, have a vertical relationship, or supply related product(s)/service(s). </w:t>
            </w:r>
          </w:p>
          <w:p>
            <w:pPr>
              <w:pStyle w:val="12"/>
              <w:numPr>
                <w:ilvl w:val="1"/>
                <w:numId w:val="19"/>
              </w:numPr>
              <w:spacing w:before="101"/>
              <w:jc w:val="both"/>
              <w:rPr>
                <w:sz w:val="20"/>
                <w:lang w:val="en-GB"/>
              </w:rPr>
            </w:pPr>
            <w:r>
              <w:rPr>
                <w:sz w:val="20"/>
                <w:lang w:val="en-GB"/>
              </w:rPr>
              <w:t>any trade associations which cover the industry in which the merger parties overlap, have a vertical relationship, or supply related product(s)/service(s).</w:t>
            </w:r>
          </w:p>
        </w:tc>
        <w:tc>
          <w:tcPr>
            <w:tcW w:w="953" w:type="dxa"/>
            <w:tcBorders>
              <w:left w:val="nil"/>
              <w:right w:val="single" w:color="auto" w:sz="4" w:space="0"/>
            </w:tcBorders>
          </w:tcPr>
          <w:p>
            <w:pPr>
              <w:pStyle w:val="12"/>
              <w:jc w:val="both"/>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12"/>
              <w:spacing w:before="101"/>
              <w:rPr>
                <w:sz w:val="20"/>
              </w:rPr>
            </w:pPr>
            <w:r>
              <w:rPr>
                <w:sz w:val="20"/>
              </w:rPr>
              <w:t xml:space="preserve">  9.5</w:t>
            </w:r>
          </w:p>
        </w:tc>
        <w:tc>
          <w:tcPr>
            <w:tcW w:w="7987" w:type="dxa"/>
            <w:tcBorders>
              <w:right w:val="nil"/>
            </w:tcBorders>
          </w:tcPr>
          <w:p>
            <w:pPr>
              <w:pStyle w:val="12"/>
              <w:spacing w:before="101"/>
              <w:ind w:left="72"/>
              <w:jc w:val="both"/>
              <w:rPr>
                <w:sz w:val="20"/>
                <w:lang w:val="en-GB"/>
              </w:rPr>
            </w:pPr>
            <w:r>
              <w:rPr>
                <w:sz w:val="20"/>
              </w:rPr>
              <w:t>Any other information which the party considers relevant</w:t>
            </w:r>
          </w:p>
        </w:tc>
        <w:tc>
          <w:tcPr>
            <w:tcW w:w="953" w:type="dxa"/>
            <w:tcBorders>
              <w:left w:val="nil"/>
              <w:right w:val="single" w:color="auto" w:sz="4" w:space="0"/>
            </w:tcBorders>
          </w:tcPr>
          <w:p>
            <w:pPr>
              <w:pStyle w:val="12"/>
              <w:jc w:val="both"/>
              <w:rPr>
                <w:rFonts w:ascii="Times New Roman"/>
                <w:sz w:val="18"/>
              </w:rPr>
            </w:pPr>
          </w:p>
        </w:tc>
        <w:tc>
          <w:tcPr>
            <w:tcW w:w="1440" w:type="dxa"/>
            <w:tcBorders>
              <w:left w:val="single" w:color="auto" w:sz="4" w:space="0"/>
              <w:right w:val="single" w:color="000000" w:sz="6" w:space="0"/>
            </w:tcBorders>
          </w:tcPr>
          <w:p>
            <w:pPr>
              <w:pStyle w:val="12"/>
              <w:rPr>
                <w:rFonts w:ascii="Times New Roman"/>
                <w:sz w:val="18"/>
              </w:rPr>
            </w:pPr>
          </w:p>
        </w:tc>
      </w:tr>
    </w:tbl>
    <w:tbl>
      <w:tblPr>
        <w:tblStyle w:val="10"/>
        <w:tblpPr w:leftFromText="180" w:rightFromText="180" w:vertAnchor="text" w:horzAnchor="margin" w:tblpXSpec="center" w:tblpY="933"/>
        <w:tblW w:w="110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8"/>
        <w:gridCol w:w="10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shd w:val="clear" w:color="auto" w:fill="000000" w:themeFill="text1"/>
          </w:tcPr>
          <w:p>
            <w:pPr>
              <w:pStyle w:val="3"/>
              <w:numPr>
                <w:ilvl w:val="0"/>
                <w:numId w:val="6"/>
              </w:numPr>
              <w:rPr>
                <w:b/>
                <w:bCs/>
                <w:lang w:val="en-GB"/>
              </w:rPr>
            </w:pPr>
          </w:p>
        </w:tc>
        <w:tc>
          <w:tcPr>
            <w:tcW w:w="10350" w:type="dxa"/>
            <w:shd w:val="clear" w:color="auto" w:fill="000000" w:themeFill="text1"/>
          </w:tcPr>
          <w:p>
            <w:pPr>
              <w:pStyle w:val="3"/>
              <w:rPr>
                <w:b/>
                <w:bCs/>
                <w:lang w:val="en-GB"/>
              </w:rPr>
            </w:pPr>
            <w:r>
              <w:rPr>
                <w:b/>
                <w:bCs/>
                <w:lang w:val="en-GB"/>
              </w:rPr>
              <w:t>DECLARATION</w:t>
            </w:r>
          </w:p>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keepNext/>
              <w:widowControl/>
              <w:autoSpaceDE/>
              <w:autoSpaceDN/>
              <w:spacing w:before="360" w:after="240" w:line="288" w:lineRule="auto"/>
              <w:jc w:val="both"/>
              <w:outlineLvl w:val="1"/>
              <w:rPr>
                <w:rFonts w:ascii="Palatino Linotype" w:hAnsi="Palatino Linotype" w:eastAsia="SimSun" w:cs="Times New Roman"/>
                <w:b/>
                <w:bCs/>
                <w:i/>
                <w:iCs/>
                <w:sz w:val="24"/>
                <w:szCs w:val="24"/>
                <w:lang w:val="en-GB" w:eastAsia="en-GB"/>
              </w:rPr>
            </w:pPr>
          </w:p>
        </w:tc>
        <w:tc>
          <w:tcPr>
            <w:tcW w:w="10350" w:type="dxa"/>
          </w:tcPr>
          <w:p>
            <w:pPr>
              <w:widowControl/>
              <w:adjustRightInd w:val="0"/>
              <w:spacing w:after="240" w:line="288" w:lineRule="auto"/>
              <w:jc w:val="both"/>
              <w:rPr>
                <w:rFonts w:eastAsia="Times New Roman"/>
                <w:color w:val="000000"/>
                <w:sz w:val="20"/>
                <w:szCs w:val="20"/>
                <w:lang w:val="en-GB" w:eastAsia="en-GB"/>
              </w:rPr>
            </w:pPr>
          </w:p>
          <w:p>
            <w:pPr>
              <w:widowControl/>
              <w:adjustRightInd w:val="0"/>
              <w:spacing w:after="240" w:line="288" w:lineRule="auto"/>
              <w:jc w:val="both"/>
              <w:rPr>
                <w:rFonts w:eastAsia="Times New Roman"/>
                <w:color w:val="000000"/>
                <w:sz w:val="20"/>
                <w:szCs w:val="20"/>
                <w:lang w:val="en-GB" w:eastAsia="en-GB"/>
              </w:rPr>
            </w:pPr>
            <w:r>
              <w:rPr>
                <w:rFonts w:eastAsia="Times New Roman"/>
                <w:color w:val="000000"/>
                <w:sz w:val="20"/>
                <w:szCs w:val="20"/>
                <w:lang w:val="en-GB" w:eastAsia="en-GB"/>
              </w:rPr>
              <w:t>This Declaration must be signed by a duly authorised person</w:t>
            </w:r>
            <w:r>
              <w:rPr>
                <w:rFonts w:eastAsia="Times New Roman"/>
                <w:sz w:val="20"/>
                <w:szCs w:val="20"/>
                <w:lang w:val="en-GB" w:eastAsia="en-GB"/>
              </w:rPr>
              <w:t xml:space="preserve"> or on behalf of each of the notifying parties:</w:t>
            </w:r>
          </w:p>
          <w:p>
            <w:pPr>
              <w:widowControl/>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I declare that, to the best of my knowledge and belief, the information given in response to the questions in this Notice is true, correct, and complete in all material respects.</w:t>
            </w:r>
          </w:p>
          <w:p>
            <w:pPr>
              <w:widowControl/>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I understand that:</w:t>
            </w:r>
          </w:p>
          <w:p>
            <w:pPr>
              <w:widowControl/>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It is a criminal offence under section 112 of the Federal Competition and Consumer Protection Act, 2018 for a person knowingly to supply to the Commission information which is false or misleading in any material respect. This includes supplying such information to another person or any officer of the Commission knowing that the information is to be used for the purpose of supplying information to the Commission;</w:t>
            </w:r>
          </w:p>
          <w:p>
            <w:pPr>
              <w:widowControl/>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 xml:space="preserve">The Commission may reject any Notice if it is discoveredthat it contains information which is false or misleading in any material respect; </w:t>
            </w:r>
          </w:p>
          <w:p>
            <w:pPr>
              <w:widowControl/>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The Commission conducts both Phase 1 and Phase 2 investigations. In the event that the merger is referred for a Phase 2 investigation, information provided to the Commission during the course of the Phase 1 investigation will also be used for the Phase 2 investigation; and</w:t>
            </w:r>
          </w:p>
          <w:p>
            <w:pPr>
              <w:widowControl/>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The Commission will bring the merger described in this Notice, and the fact that the Notice has been given, as prescribed by the Act.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BE5F1" w:themeFill="accent1" w:themeFillTint="33"/>
                </w:tcPr>
                <w:p>
                  <w:pPr>
                    <w:widowControl/>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BE5F1" w:themeFill="accent1" w:themeFillTint="33"/>
                </w:tcPr>
                <w:p>
                  <w:pPr>
                    <w:widowControl/>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Name: (block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BE5F1" w:themeFill="accent1" w:themeFillTint="33"/>
                </w:tcPr>
                <w:p>
                  <w:pPr>
                    <w:widowControl/>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Position: (block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BE5F1" w:themeFill="accent1" w:themeFillTint="33"/>
                </w:tcPr>
                <w:p>
                  <w:pPr>
                    <w:widowControl/>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Date:</w:t>
                  </w:r>
                </w:p>
              </w:tc>
            </w:tr>
          </w:tbl>
          <w:p>
            <w:pPr>
              <w:widowControl/>
              <w:adjustRightInd w:val="0"/>
              <w:spacing w:after="240" w:line="288" w:lineRule="auto"/>
              <w:jc w:val="both"/>
              <w:rPr>
                <w:rFonts w:eastAsia="Times New Roman"/>
                <w:color w:val="000000"/>
                <w:sz w:val="20"/>
                <w:szCs w:val="20"/>
                <w:lang w:val="en-GB" w:eastAsia="en-GB"/>
              </w:rPr>
            </w:pPr>
          </w:p>
          <w:p>
            <w:pPr>
              <w:widowControl/>
              <w:adjustRightInd w:val="0"/>
              <w:spacing w:after="240" w:line="288" w:lineRule="auto"/>
              <w:jc w:val="both"/>
              <w:rPr>
                <w:rFonts w:eastAsia="Times New Roman"/>
                <w:color w:val="000000"/>
                <w:sz w:val="20"/>
                <w:szCs w:val="20"/>
                <w:lang w:val="en-GB" w:eastAsia="en-GB"/>
              </w:rPr>
            </w:pPr>
            <w:r>
              <w:rPr>
                <w:rFonts w:eastAsia="Times New Roman"/>
                <w:color w:val="000000"/>
                <w:sz w:val="20"/>
                <w:szCs w:val="20"/>
                <w:lang w:val="en-GB" w:eastAsia="en-GB"/>
              </w:rPr>
              <w:t>In addition to the above Declaration, the Declaration below should also be signed by a duly authorised person or on behalf of each of the notifying parties if the undertakings are appointing legal representatives:  </w:t>
            </w:r>
          </w:p>
          <w:p>
            <w:pPr>
              <w:widowControl/>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I confirm that the representative(s) (if any) named in reply to question 1(b) is/are authorised for the purposes of proceedings related to the arrangements described under question 2 to act on behalf of the merger parties respectively specified in response to question 1(b) of this Form/Guidance Note. I hereby specify the address of the representatives named in reply to question 1(b) as an address at which [name of notifying party] will accept service or take receipt of documents.</w:t>
            </w:r>
          </w:p>
          <w:p>
            <w:pPr>
              <w:widowControl/>
              <w:adjustRightInd w:val="0"/>
              <w:spacing w:after="240" w:line="288" w:lineRule="auto"/>
              <w:jc w:val="both"/>
              <w:rPr>
                <w:rFonts w:eastAsia="Times New Roman"/>
                <w:i/>
                <w:color w:val="000000"/>
                <w:sz w:val="20"/>
                <w:szCs w:val="20"/>
                <w:lang w:val="en-GB" w:eastAsia="en-GB"/>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BE5F1" w:themeFill="accent1" w:themeFillTint="33"/>
                </w:tcPr>
                <w:p>
                  <w:pPr>
                    <w:widowControl/>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BE5F1" w:themeFill="accent1" w:themeFillTint="33"/>
                </w:tcPr>
                <w:p>
                  <w:pPr>
                    <w:widowControl/>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Name: (block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BE5F1" w:themeFill="accent1" w:themeFillTint="33"/>
                </w:tcPr>
                <w:p>
                  <w:pPr>
                    <w:widowControl/>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Position: (block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BE5F1" w:themeFill="accent1" w:themeFillTint="33"/>
                </w:tcPr>
                <w:p>
                  <w:pPr>
                    <w:widowControl/>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Date:</w:t>
                  </w:r>
                </w:p>
              </w:tc>
            </w:tr>
          </w:tbl>
          <w:p>
            <w:pPr>
              <w:pStyle w:val="3"/>
            </w:pPr>
          </w:p>
        </w:tc>
      </w:tr>
    </w:tbl>
    <w:p>
      <w:pPr>
        <w:framePr w:w="10725" w:wrap="around" w:vAnchor="margin" w:hAnchor="text" w:y="1"/>
        <w:rPr>
          <w:rFonts w:ascii="Times New Roman"/>
          <w:sz w:val="18"/>
        </w:rPr>
        <w:sectPr>
          <w:pgSz w:w="12240" w:h="15840"/>
          <w:pgMar w:top="700" w:right="540" w:bottom="620" w:left="300" w:header="360" w:footer="421" w:gutter="0"/>
          <w:cols w:space="720" w:num="1"/>
        </w:sectPr>
      </w:pPr>
    </w:p>
    <w:p>
      <w:pPr>
        <w:rPr>
          <w:rFonts w:ascii="Times New Roman"/>
          <w:sz w:val="18"/>
        </w:rPr>
        <w:sectPr>
          <w:pgSz w:w="12240" w:h="15840"/>
          <w:pgMar w:top="700" w:right="540" w:bottom="620" w:left="300" w:header="360" w:footer="421" w:gutter="0"/>
          <w:cols w:space="720" w:num="1"/>
        </w:sectPr>
      </w:pPr>
    </w:p>
    <w:p>
      <w:pPr>
        <w:rPr>
          <w:rFonts w:ascii="Times New Roman"/>
          <w:sz w:val="18"/>
        </w:rPr>
        <w:sectPr>
          <w:pgSz w:w="12240" w:h="15840"/>
          <w:pgMar w:top="700" w:right="540" w:bottom="620" w:left="300" w:header="360" w:footer="421" w:gutter="0"/>
          <w:cols w:space="720" w:num="1"/>
        </w:sectPr>
      </w:pPr>
    </w:p>
    <w:p/>
    <w:sectPr>
      <w:pgSz w:w="12240" w:h="15840"/>
      <w:pgMar w:top="700" w:right="540" w:bottom="620" w:left="300" w:header="360" w:footer="42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Palatino Linotype">
    <w:panose1 w:val="02040502050505030304"/>
    <w:charset w:val="00"/>
    <w:family w:val="roman"/>
    <w:pitch w:val="default"/>
    <w:sig w:usb0="E0000287" w:usb1="40000013" w:usb2="0000000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4533004"/>
      <w:docPartObj>
        <w:docPartGallery w:val="AutoText"/>
      </w:docPartObj>
    </w:sdtPr>
    <w:sdtContent>
      <w:sdt>
        <w:sdtPr>
          <w:id w:val="-1769616900"/>
          <w:docPartObj>
            <w:docPartGallery w:val="AutoText"/>
          </w:docPartObj>
        </w:sdtPr>
        <w:sdtContent>
          <w:p>
            <w:pPr>
              <w:pStyle w:val="4"/>
            </w:pPr>
            <w:r>
              <w:t xml:space="preserve">        </w:t>
            </w:r>
            <w:r>
              <w:rPr>
                <w:b/>
                <w:sz w:val="18"/>
                <w:szCs w:val="18"/>
              </w:rPr>
              <w:t>MERGER REVIEW REGULATION FORM</w:t>
            </w:r>
            <w:r>
              <w:rPr>
                <w:sz w:val="18"/>
                <w:szCs w:val="18"/>
              </w:rPr>
              <w:t xml:space="preserve"> </w:t>
            </w:r>
            <w:r>
              <w:rPr>
                <w:sz w:val="20"/>
                <w:szCs w:val="20"/>
              </w:rPr>
              <w:tab/>
            </w:r>
            <w:r>
              <w:rPr>
                <w:sz w:val="20"/>
                <w:szCs w:val="20"/>
              </w:rPr>
              <w:tab/>
            </w:r>
            <w:r>
              <w:rPr>
                <w:sz w:val="20"/>
                <w:szCs w:val="20"/>
              </w:rPr>
              <w:tab/>
            </w:r>
            <w:r>
              <w:rPr>
                <w:sz w:val="20"/>
                <w:szCs w:val="20"/>
              </w:rPr>
              <w:tab/>
            </w:r>
            <w:r>
              <w:rPr>
                <w:sz w:val="20"/>
                <w:szCs w:val="20"/>
              </w:rPr>
              <w:t xml:space="preserve"> Page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2</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2</w:t>
            </w:r>
            <w:r>
              <w:rPr>
                <w:b/>
                <w:bCs/>
                <w:sz w:val="20"/>
                <w:szCs w:val="20"/>
              </w:rPr>
              <w:fldChar w:fldCharType="end"/>
            </w:r>
          </w:p>
        </w:sdtContent>
      </w:sdt>
    </w:sdtContent>
  </w:sdt>
  <w:p>
    <w:pPr>
      <w:pStyle w:val="3"/>
      <w:tabs>
        <w:tab w:val="left" w:pos="3510"/>
      </w:tabs>
      <w:spacing w:line="360" w:lineRule="auto"/>
      <w:rPr>
        <w:sz w:val="22"/>
        <w:szCs w:val="2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360" w:lineRule="auto"/>
      <w:ind w:left="3600" w:leftChars="0" w:firstLine="720" w:firstLineChars="0"/>
    </w:pPr>
    <w:r>
      <w:rPr>
        <w:rFonts w:hint="default"/>
        <w:lang w:val="en-US"/>
      </w:rPr>
      <w:t xml:space="preserve">      </w:t>
    </w:r>
    <w:r>
      <w:rPr>
        <w:rFonts w:hint="default"/>
        <w:lang w:val="en-US"/>
      </w:rPr>
      <w:drawing>
        <wp:inline distT="0" distB="0" distL="114300" distR="114300">
          <wp:extent cx="1083310" cy="678815"/>
          <wp:effectExtent l="0" t="0" r="2540" b="698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1"/>
                  <a:stretch>
                    <a:fillRect/>
                  </a:stretch>
                </pic:blipFill>
                <pic:spPr>
                  <a:xfrm>
                    <a:off x="0" y="0"/>
                    <a:ext cx="1083310" cy="678815"/>
                  </a:xfrm>
                  <a:prstGeom prst="rect">
                    <a:avLst/>
                  </a:prstGeom>
                </pic:spPr>
              </pic:pic>
            </a:graphicData>
          </a:graphic>
        </wp:inline>
      </w:drawing>
    </w:r>
  </w:p>
  <w:p>
    <w:pPr>
      <w:pStyle w:val="3"/>
      <w:spacing w:line="360" w:lineRule="auto"/>
      <w:ind w:left="2160" w:leftChars="0" w:firstLine="720" w:firstLineChars="0"/>
    </w:pPr>
    <w:r>
      <w:t>Federal Competition and Consumer Protection Commission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28px;height:28px" o:bullet="t">
        <v:imagedata r:id="rId1" o:title=""/>
      </v:shape>
    </w:pict>
  </w:numPicBullet>
  <w:numPicBullet w:numPicBulletId="1">
    <w:pict>
      <v:shape id="1" type="#_x0000_t75" style="width:28px;height:28px" o:bullet="t">
        <v:imagedata r:id="rId2" o:title=""/>
      </v:shape>
    </w:pict>
  </w:numPicBullet>
  <w:numPicBullet w:numPicBulletId="2">
    <w:pict>
      <v:shape id="2" type="#_x0000_t75" style="width:28px;height:28px" o:bullet="t">
        <v:imagedata r:id="rId3" o:title=""/>
      </v:shape>
    </w:pict>
  </w:numPicBullet>
  <w:numPicBullet w:numPicBulletId="3">
    <w:pict>
      <v:shape id="3" type="#_x0000_t75" style="width:22px;height:22px" o:bullet="t">
        <v:imagedata r:id="rId4" o:title=""/>
      </v:shape>
    </w:pict>
  </w:numPicBullet>
  <w:numPicBullet w:numPicBulletId="4">
    <w:pict>
      <v:shape id="4" type="#_x0000_t75" style="width:22px;height:22px" o:bullet="t">
        <v:imagedata r:id="rId5" o:title=""/>
      </v:shape>
    </w:pict>
  </w:numPicBullet>
  <w:abstractNum w:abstractNumId="0">
    <w:nsid w:val="0679719C"/>
    <w:multiLevelType w:val="multilevel"/>
    <w:tmpl w:val="0679719C"/>
    <w:lvl w:ilvl="0" w:tentative="0">
      <w:start w:val="1"/>
      <w:numFmt w:val="decimal"/>
      <w:lvlText w:val="%1."/>
      <w:lvlJc w:val="left"/>
      <w:pPr>
        <w:tabs>
          <w:tab w:val="left" w:pos="720"/>
        </w:tabs>
        <w:ind w:left="720" w:hanging="360"/>
      </w:pPr>
    </w:lvl>
    <w:lvl w:ilvl="1" w:tentative="0">
      <w:start w:val="5"/>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7B635C2"/>
    <w:multiLevelType w:val="multilevel"/>
    <w:tmpl w:val="27B635C2"/>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BCC6F14"/>
    <w:multiLevelType w:val="multilevel"/>
    <w:tmpl w:val="2BCC6F14"/>
    <w:lvl w:ilvl="0" w:tentative="0">
      <w:start w:val="1"/>
      <w:numFmt w:val="lowerRoman"/>
      <w:lvlText w:val="%1."/>
      <w:lvlJc w:val="left"/>
      <w:pPr>
        <w:ind w:left="2880" w:hanging="360"/>
      </w:pPr>
      <w:rPr>
        <w:rFonts w:hint="default"/>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3">
    <w:nsid w:val="4BA125C6"/>
    <w:multiLevelType w:val="multilevel"/>
    <w:tmpl w:val="4BA125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5"/>
      <w:numFmt w:val="decimal"/>
      <w:lvlText w:val="%3"/>
      <w:lvlJc w:val="left"/>
      <w:pPr>
        <w:ind w:left="2160" w:hanging="360"/>
      </w:pPr>
      <w:rPr>
        <w:rFonts w:hint="default"/>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52660E0"/>
    <w:multiLevelType w:val="multilevel"/>
    <w:tmpl w:val="552660E0"/>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5">
    <w:nsid w:val="592116CB"/>
    <w:multiLevelType w:val="multilevel"/>
    <w:tmpl w:val="592116C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FFA4395"/>
    <w:multiLevelType w:val="multilevel"/>
    <w:tmpl w:val="5FFA4395"/>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7A7821F7"/>
    <w:multiLevelType w:val="multilevel"/>
    <w:tmpl w:val="7A7821F7"/>
    <w:lvl w:ilvl="0" w:tentative="0">
      <w:start w:val="3"/>
      <w:numFmt w:val="decimal"/>
      <w:lvlText w:val="%1."/>
      <w:lvlJc w:val="left"/>
      <w:pPr>
        <w:tabs>
          <w:tab w:val="left" w:pos="720"/>
        </w:tabs>
        <w:ind w:left="720" w:hanging="360"/>
      </w:pPr>
      <w:rPr>
        <w:rFonts w:hint="default"/>
      </w:rPr>
    </w:lvl>
    <w:lvl w:ilvl="1" w:tentative="0">
      <w:start w:val="1"/>
      <w:numFmt w:val="bullet"/>
      <w:lvlText w:val=""/>
      <w:lvlPicBulletId w:val="4"/>
      <w:lvlJc w:val="right"/>
      <w:pPr>
        <w:ind w:left="0" w:firstLine="0"/>
      </w:pPr>
      <w:rPr>
        <w:rFonts w:hint="default" w:ascii="Symbol" w:hAnsi="Symbol"/>
      </w:rPr>
    </w:lvl>
    <w:lvl w:ilvl="2" w:tentative="0">
      <w:start w:val="5"/>
      <w:numFmt w:val="decimal"/>
      <w:lvlText w:val="%3"/>
      <w:lvlJc w:val="left"/>
      <w:pPr>
        <w:ind w:left="2160" w:hanging="36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decimal"/>
      <w:lvlText w:val="%6."/>
      <w:lvlJc w:val="left"/>
      <w:pPr>
        <w:tabs>
          <w:tab w:val="left" w:pos="4320"/>
        </w:tabs>
        <w:ind w:left="4320" w:hanging="36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decimal"/>
      <w:lvlText w:val="%8."/>
      <w:lvlJc w:val="left"/>
      <w:pPr>
        <w:tabs>
          <w:tab w:val="left" w:pos="5760"/>
        </w:tabs>
        <w:ind w:left="5760" w:hanging="360"/>
      </w:pPr>
      <w:rPr>
        <w:rFonts w:hint="default"/>
      </w:rPr>
    </w:lvl>
    <w:lvl w:ilvl="8" w:tentative="0">
      <w:start w:val="1"/>
      <w:numFmt w:val="decimal"/>
      <w:lvlText w:val="%9."/>
      <w:lvlJc w:val="left"/>
      <w:pPr>
        <w:tabs>
          <w:tab w:val="left" w:pos="6480"/>
        </w:tabs>
        <w:ind w:left="6480" w:hanging="360"/>
      </w:pPr>
      <w:rPr>
        <w:rFonts w:hint="default"/>
      </w:rPr>
    </w:lvl>
  </w:abstractNum>
  <w:abstractNum w:abstractNumId="8">
    <w:nsid w:val="7BE7125D"/>
    <w:multiLevelType w:val="multilevel"/>
    <w:tmpl w:val="7BE7125D"/>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9">
    <w:nsid w:val="7CA2392F"/>
    <w:multiLevelType w:val="multilevel"/>
    <w:tmpl w:val="7CA2392F"/>
    <w:lvl w:ilvl="0" w:tentative="0">
      <w:start w:val="1"/>
      <w:numFmt w:val="decimal"/>
      <w:lvlText w:val="%1."/>
      <w:lvlJc w:val="left"/>
      <w:pPr>
        <w:ind w:left="720" w:hanging="720"/>
      </w:pPr>
      <w:rPr>
        <w:rFonts w:hint="default" w:ascii="Palatino Linotype" w:hAnsi="Palatino Linotype"/>
        <w:b w:val="0"/>
        <w:i w:val="0"/>
        <w:sz w:val="24"/>
      </w:rPr>
    </w:lvl>
    <w:lvl w:ilvl="1" w:tentative="0">
      <w:start w:val="1"/>
      <w:numFmt w:val="lowerRoman"/>
      <w:lvlText w:val="%2."/>
      <w:lvlJc w:val="right"/>
      <w:pPr>
        <w:ind w:left="1152" w:hanging="432"/>
      </w:pPr>
      <w:rPr>
        <w:rFonts w:hint="default"/>
        <w:b w:val="0"/>
        <w:i w:val="0"/>
        <w:iCs/>
        <w:sz w:val="24"/>
      </w:rPr>
    </w:lvl>
    <w:lvl w:ilvl="2" w:tentative="0">
      <w:start w:val="1"/>
      <w:numFmt w:val="lowerRoman"/>
      <w:lvlText w:val="(%3)"/>
      <w:lvlJc w:val="left"/>
      <w:pPr>
        <w:tabs>
          <w:tab w:val="left" w:pos="1584"/>
        </w:tabs>
        <w:ind w:left="1584" w:hanging="432"/>
      </w:pPr>
      <w:rPr>
        <w:rFonts w:hint="default" w:ascii="Arial" w:hAnsi="Arial"/>
        <w:b w:val="0"/>
        <w:i w:val="0"/>
        <w:sz w:val="24"/>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num w:numId="1">
    <w:abstractNumId w:val="4"/>
  </w:num>
  <w:num w:numId="2">
    <w:abstractNumId w:val="8"/>
  </w:num>
  <w:num w:numId="3">
    <w:abstractNumId w:val="0"/>
    <w:lvlOverride w:ilvl="0">
      <w:lvl w:ilvl="0" w:tentative="1">
        <w:start w:val="1"/>
        <w:numFmt w:val="bullet"/>
        <w:lvlText w:val=""/>
        <w:lvlPicBulletId w:val="2"/>
        <w:lvlJc w:val="right"/>
        <w:rPr>
          <w:rFonts w:hint="default" w:ascii="Symbol" w:hAnsi="Symbol"/>
        </w:rPr>
      </w:lvl>
    </w:lvlOverride>
  </w:num>
  <w:num w:numId="4">
    <w:abstractNumId w:val="3"/>
    <w:lvlOverride w:ilvl="0">
      <w:lvl w:ilvl="0" w:tentative="1">
        <w:start w:val="1"/>
        <w:numFmt w:val="decimal"/>
        <w:lvlText w:val="%1."/>
        <w:lvlJc w:val="left"/>
        <w:pPr>
          <w:tabs>
            <w:tab w:val="left" w:pos="720"/>
          </w:tabs>
          <w:ind w:left="720" w:hanging="360"/>
        </w:pPr>
      </w:lvl>
    </w:lvlOverride>
    <w:lvlOverride w:ilvl="1">
      <w:lvl w:ilvl="1" w:tentative="1">
        <w:start w:val="1"/>
        <w:numFmt w:val="bullet"/>
        <w:lvlText w:val=""/>
        <w:lvlPicBulletId w:val="3"/>
        <w:lvlJc w:val="right"/>
        <w:rPr>
          <w:rFonts w:hint="default" w:ascii="Symbol" w:hAnsi="Symbol"/>
        </w:rPr>
      </w:lvl>
    </w:lvlOverride>
    <w:lvlOverride w:ilvl="2">
      <w:lvl w:ilvl="2" w:tentative="1">
        <w:start w:val="5"/>
        <w:numFmt w:val="decimal"/>
        <w:lvlText w:val="%3"/>
        <w:lvlJc w:val="left"/>
        <w:pPr>
          <w:ind w:left="2160" w:hanging="360"/>
        </w:pPr>
        <w:rPr>
          <w:rFonts w:hint="default"/>
        </w:rPr>
      </w:lvl>
    </w:lvlOverride>
    <w:lvlOverride w:ilvl="3">
      <w:lvl w:ilvl="3" w:tentative="1">
        <w:start w:val="1"/>
        <w:numFmt w:val="decimal"/>
        <w:lvlText w:val="%4."/>
        <w:lvlJc w:val="left"/>
        <w:pPr>
          <w:tabs>
            <w:tab w:val="left" w:pos="2880"/>
          </w:tabs>
          <w:ind w:left="2880" w:hanging="360"/>
        </w:pPr>
      </w:lvl>
    </w:lvlOverride>
    <w:lvlOverride w:ilvl="4">
      <w:lvl w:ilvl="4" w:tentative="1">
        <w:start w:val="1"/>
        <w:numFmt w:val="decimal"/>
        <w:lvlText w:val="%5."/>
        <w:lvlJc w:val="left"/>
        <w:pPr>
          <w:tabs>
            <w:tab w:val="left" w:pos="3600"/>
          </w:tabs>
          <w:ind w:left="3600" w:hanging="360"/>
        </w:pPr>
      </w:lvl>
    </w:lvlOverride>
    <w:lvlOverride w:ilvl="5">
      <w:lvl w:ilvl="5" w:tentative="1">
        <w:start w:val="1"/>
        <w:numFmt w:val="decimal"/>
        <w:lvlText w:val="%6."/>
        <w:lvlJc w:val="left"/>
        <w:pPr>
          <w:tabs>
            <w:tab w:val="left" w:pos="4320"/>
          </w:tabs>
          <w:ind w:left="4320" w:hanging="360"/>
        </w:pPr>
      </w:lvl>
    </w:lvlOverride>
    <w:lvlOverride w:ilvl="6">
      <w:lvl w:ilvl="6" w:tentative="1">
        <w:start w:val="1"/>
        <w:numFmt w:val="decimal"/>
        <w:lvlText w:val="%7."/>
        <w:lvlJc w:val="left"/>
        <w:pPr>
          <w:tabs>
            <w:tab w:val="left" w:pos="5040"/>
          </w:tabs>
          <w:ind w:left="5040" w:hanging="360"/>
        </w:pPr>
      </w:lvl>
    </w:lvlOverride>
    <w:lvlOverride w:ilvl="7">
      <w:lvl w:ilvl="7" w:tentative="1">
        <w:start w:val="1"/>
        <w:numFmt w:val="decimal"/>
        <w:lvlText w:val="%8."/>
        <w:lvlJc w:val="left"/>
        <w:pPr>
          <w:tabs>
            <w:tab w:val="left" w:pos="5760"/>
          </w:tabs>
          <w:ind w:left="5760" w:hanging="360"/>
        </w:pPr>
      </w:lvl>
    </w:lvlOverride>
    <w:lvlOverride w:ilvl="8">
      <w:lvl w:ilvl="8" w:tentative="1">
        <w:start w:val="1"/>
        <w:numFmt w:val="decimal"/>
        <w:lvlText w:val="%9."/>
        <w:lvlJc w:val="left"/>
        <w:pPr>
          <w:tabs>
            <w:tab w:val="left" w:pos="6480"/>
          </w:tabs>
          <w:ind w:left="6480" w:hanging="360"/>
        </w:pPr>
      </w:lvl>
    </w:lvlOverride>
  </w:num>
  <w:num w:numId="5">
    <w:abstractNumId w:val="1"/>
  </w:num>
  <w:num w:numId="6">
    <w:abstractNumId w:val="7"/>
  </w:num>
  <w:num w:numId="7">
    <w:abstractNumId w:val="9"/>
  </w:num>
  <w:num w:numId="8">
    <w:abstractNumId w:val="5"/>
  </w:num>
  <w:num w:numId="9">
    <w:abstractNumId w:val="2"/>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E50D7"/>
    <w:rsid w:val="00001930"/>
    <w:rsid w:val="0001318E"/>
    <w:rsid w:val="00055DAD"/>
    <w:rsid w:val="0009083F"/>
    <w:rsid w:val="000E1CA3"/>
    <w:rsid w:val="00186854"/>
    <w:rsid w:val="001F3EC4"/>
    <w:rsid w:val="00243581"/>
    <w:rsid w:val="002D7319"/>
    <w:rsid w:val="003D76E3"/>
    <w:rsid w:val="0043054C"/>
    <w:rsid w:val="004601D0"/>
    <w:rsid w:val="0049050A"/>
    <w:rsid w:val="004A4C5C"/>
    <w:rsid w:val="004E116E"/>
    <w:rsid w:val="004F126A"/>
    <w:rsid w:val="00563ADA"/>
    <w:rsid w:val="0057127C"/>
    <w:rsid w:val="005B6025"/>
    <w:rsid w:val="005F1D61"/>
    <w:rsid w:val="006C7A7A"/>
    <w:rsid w:val="007320F0"/>
    <w:rsid w:val="00777612"/>
    <w:rsid w:val="007E559E"/>
    <w:rsid w:val="00833BE3"/>
    <w:rsid w:val="008875C7"/>
    <w:rsid w:val="00894F7B"/>
    <w:rsid w:val="008C17ED"/>
    <w:rsid w:val="008D20B6"/>
    <w:rsid w:val="008F3A55"/>
    <w:rsid w:val="009141D0"/>
    <w:rsid w:val="00984EA9"/>
    <w:rsid w:val="009938C5"/>
    <w:rsid w:val="00B046C7"/>
    <w:rsid w:val="00B66F85"/>
    <w:rsid w:val="00BC56EA"/>
    <w:rsid w:val="00C930CA"/>
    <w:rsid w:val="00CD222B"/>
    <w:rsid w:val="00E4257C"/>
    <w:rsid w:val="00EA7A59"/>
    <w:rsid w:val="00EE50D7"/>
    <w:rsid w:val="00F232AD"/>
    <w:rsid w:val="00FA0B6F"/>
    <w:rsid w:val="00FE4214"/>
    <w:rsid w:val="00FF035E"/>
    <w:rsid w:val="41402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character" w:default="1" w:styleId="7">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semiHidden/>
    <w:unhideWhenUsed/>
    <w:uiPriority w:val="99"/>
    <w:rPr>
      <w:rFonts w:ascii="Segoe UI" w:hAnsi="Segoe UI" w:cs="Segoe UI"/>
      <w:sz w:val="18"/>
      <w:szCs w:val="18"/>
    </w:rPr>
  </w:style>
  <w:style w:type="paragraph" w:styleId="3">
    <w:name w:val="Body Text"/>
    <w:basedOn w:val="1"/>
    <w:qFormat/>
    <w:uiPriority w:val="0"/>
    <w:rPr>
      <w:sz w:val="20"/>
      <w:szCs w:val="20"/>
    </w:rPr>
  </w:style>
  <w:style w:type="paragraph" w:styleId="4">
    <w:name w:val="footer"/>
    <w:basedOn w:val="1"/>
    <w:link w:val="15"/>
    <w:unhideWhenUsed/>
    <w:uiPriority w:val="99"/>
    <w:pPr>
      <w:tabs>
        <w:tab w:val="center" w:pos="4513"/>
        <w:tab w:val="right" w:pos="9026"/>
      </w:tabs>
    </w:pPr>
  </w:style>
  <w:style w:type="paragraph" w:styleId="5">
    <w:name w:val="footnote text"/>
    <w:basedOn w:val="1"/>
    <w:link w:val="16"/>
    <w:semiHidden/>
    <w:unhideWhenUsed/>
    <w:uiPriority w:val="99"/>
    <w:rPr>
      <w:sz w:val="20"/>
      <w:szCs w:val="20"/>
    </w:rPr>
  </w:style>
  <w:style w:type="paragraph" w:styleId="6">
    <w:name w:val="header"/>
    <w:basedOn w:val="1"/>
    <w:link w:val="14"/>
    <w:unhideWhenUsed/>
    <w:qFormat/>
    <w:uiPriority w:val="99"/>
    <w:pPr>
      <w:tabs>
        <w:tab w:val="center" w:pos="4513"/>
        <w:tab w:val="right" w:pos="9026"/>
      </w:tabs>
    </w:pPr>
  </w:style>
  <w:style w:type="character" w:styleId="8">
    <w:name w:val="footnote reference"/>
    <w:basedOn w:val="7"/>
    <w:semiHidden/>
    <w:unhideWhenUsed/>
    <w:uiPriority w:val="0"/>
    <w:rPr>
      <w:rFonts w:hint="default" w:ascii="Arial" w:hAnsi="Arial" w:cs="Arial"/>
      <w:sz w:val="24"/>
      <w:u w:val="none"/>
      <w:vertAlign w:val="superscript"/>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1"/>
  </w:style>
  <w:style w:type="paragraph" w:customStyle="1" w:styleId="12">
    <w:name w:val="Table Paragraph"/>
    <w:basedOn w:val="1"/>
    <w:qFormat/>
    <w:uiPriority w:val="1"/>
  </w:style>
  <w:style w:type="character" w:customStyle="1" w:styleId="13">
    <w:name w:val="Balloon Text Char"/>
    <w:basedOn w:val="7"/>
    <w:link w:val="2"/>
    <w:semiHidden/>
    <w:uiPriority w:val="99"/>
    <w:rPr>
      <w:rFonts w:ascii="Segoe UI" w:hAnsi="Segoe UI" w:eastAsia="Arial" w:cs="Segoe UI"/>
      <w:sz w:val="18"/>
      <w:szCs w:val="18"/>
    </w:rPr>
  </w:style>
  <w:style w:type="character" w:customStyle="1" w:styleId="14">
    <w:name w:val="Header Char"/>
    <w:basedOn w:val="7"/>
    <w:link w:val="6"/>
    <w:uiPriority w:val="99"/>
    <w:rPr>
      <w:rFonts w:ascii="Arial" w:hAnsi="Arial" w:eastAsia="Arial" w:cs="Arial"/>
    </w:rPr>
  </w:style>
  <w:style w:type="character" w:customStyle="1" w:styleId="15">
    <w:name w:val="Footer Char"/>
    <w:basedOn w:val="7"/>
    <w:link w:val="4"/>
    <w:uiPriority w:val="99"/>
    <w:rPr>
      <w:rFonts w:ascii="Arial" w:hAnsi="Arial" w:eastAsia="Arial" w:cs="Arial"/>
    </w:rPr>
  </w:style>
  <w:style w:type="character" w:customStyle="1" w:styleId="16">
    <w:name w:val="Footnote Text Char"/>
    <w:basedOn w:val="7"/>
    <w:link w:val="5"/>
    <w:semiHidden/>
    <w:uiPriority w:val="99"/>
    <w:rPr>
      <w:rFonts w:ascii="Arial" w:hAnsi="Arial" w:eastAsia="Arial" w:cs="Arial"/>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5" Type="http://schemas.openxmlformats.org/officeDocument/2006/relationships/image" Target="media/image7.png"/><Relationship Id="rId4" Type="http://schemas.openxmlformats.org/officeDocument/2006/relationships/image" Target="media/image6.png"/><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90"/>
    <customShpInfo spid="_x0000_s1094"/>
    <customShpInfo spid="_x0000_s1093"/>
    <customShpInfo spid="_x0000_s1069"/>
    <customShpInfo spid="_x0000_s1059"/>
    <customShpInfo spid="_x0000_s1071"/>
    <customShpInfo spid="_x0000_s1067"/>
    <customShpInfo spid="_x0000_s107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3027</Words>
  <Characters>17260</Characters>
  <Lines>143</Lines>
  <Paragraphs>40</Paragraphs>
  <TotalTime>3</TotalTime>
  <ScaleCrop>false</ScaleCrop>
  <LinksUpToDate>false</LinksUpToDate>
  <CharactersWithSpaces>20247</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2020-03-09T15:44:00Z</dcterms:created>
  <dc:creator>Competition Bureau</dc:creator>
  <cp:lastModifiedBy>HP</cp:lastModifiedBy>
  <dcterms:modified xsi:type="dcterms:W3CDTF">2020-07-23T01:22:55Z</dcterms:modified>
  <dc:title>Competition Bureau's Notifiable Transactions Form</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2010-06-14T00:00:00Z</vt:filetime>
  </property>
  <property fmtid="{D5CDD505-2E9C-101B-9397-08002B2CF9AE}" pid="3" name="Creator">
    <vt:lpwstr>Adobe LiveCycle Designer 11.0</vt:lpwstr>
  </property>
  <property fmtid="{D5CDD505-2E9C-101B-9397-08002B2CF9AE}" pid="4" name="LastSaved">
    <vt:filetime>2020-03-09T00:00:00Z</vt:filetime>
  </property>
  <property fmtid="{D5CDD505-2E9C-101B-9397-08002B2CF9AE}" pid="5" name="KSOProductBuildVer">
    <vt:lpwstr>1033-11.2.0.9453</vt:lpwstr>
  </property>
</Properties>
</file>