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left="-720" w:right="-514"/>
        <w:jc w:val="center"/>
        <w:rPr>
          <w:rFonts w:ascii="Arial" w:hAnsi="Arial" w:eastAsia="Arial" w:cs="Arial"/>
          <w:b/>
          <w:sz w:val="20"/>
          <w:lang w:val="en-US"/>
        </w:rPr>
      </w:pPr>
      <w:r>
        <w:rPr>
          <w:rFonts w:ascii="Arial" w:hAnsi="Arial" w:eastAsia="Arial" w:cs="Arial"/>
          <w:b/>
          <w:sz w:val="20"/>
          <w:lang w:val="en-US"/>
        </w:rPr>
        <w:t>SIMPLIFIED MERGER REVIEW REGULATION FORM</w:t>
      </w:r>
    </w:p>
    <w:p>
      <w:pPr>
        <w:widowControl w:val="0"/>
        <w:autoSpaceDE w:val="0"/>
        <w:autoSpaceDN w:val="0"/>
        <w:spacing w:before="6" w:after="0" w:line="240" w:lineRule="auto"/>
        <w:ind w:left="-720" w:right="-514"/>
        <w:jc w:val="both"/>
        <w:rPr>
          <w:rFonts w:ascii="Arial" w:hAnsi="Arial" w:eastAsia="Arial" w:cs="Arial"/>
          <w:b/>
          <w:sz w:val="20"/>
          <w:szCs w:val="20"/>
          <w:lang w:val="en-US"/>
        </w:rPr>
      </w:pPr>
    </w:p>
    <w:p>
      <w:pPr>
        <w:widowControl w:val="0"/>
        <w:autoSpaceDE w:val="0"/>
        <w:autoSpaceDN w:val="0"/>
        <w:spacing w:before="1" w:after="0" w:line="249" w:lineRule="auto"/>
        <w:ind w:left="-720" w:right="-514"/>
        <w:jc w:val="both"/>
        <w:rPr>
          <w:rFonts w:ascii="Arial" w:hAnsi="Arial" w:eastAsia="Arial" w:cs="Arial"/>
          <w:sz w:val="20"/>
          <w:szCs w:val="20"/>
          <w:lang w:val="en-US"/>
        </w:rPr>
      </w:pPr>
      <w:r>
        <w:rPr>
          <w:rFonts w:ascii="Arial" w:hAnsi="Arial" w:eastAsia="Arial" w:cs="Arial"/>
          <w:b/>
          <w:w w:val="95"/>
          <w:sz w:val="20"/>
          <w:szCs w:val="20"/>
          <w:lang w:val="en-US"/>
        </w:rPr>
        <w:t>INFORMATION</w:t>
      </w:r>
      <w:r>
        <w:rPr>
          <w:rFonts w:ascii="Arial" w:hAnsi="Arial" w:eastAsia="Arial" w:cs="Arial"/>
          <w:b/>
          <w:spacing w:val="-18"/>
          <w:w w:val="95"/>
          <w:sz w:val="20"/>
          <w:szCs w:val="20"/>
          <w:lang w:val="en-US"/>
        </w:rPr>
        <w:t xml:space="preserve"> </w:t>
      </w:r>
      <w:r>
        <w:rPr>
          <w:rFonts w:ascii="Arial" w:hAnsi="Arial" w:eastAsia="Arial" w:cs="Arial"/>
          <w:b/>
          <w:w w:val="95"/>
          <w:sz w:val="20"/>
          <w:szCs w:val="20"/>
          <w:lang w:val="en-US"/>
        </w:rPr>
        <w:t>REQUIRED</w:t>
      </w:r>
      <w:r>
        <w:rPr>
          <w:rFonts w:ascii="Arial" w:hAnsi="Arial" w:eastAsia="Arial" w:cs="Arial"/>
          <w:b/>
          <w:spacing w:val="-16"/>
          <w:w w:val="95"/>
          <w:sz w:val="20"/>
          <w:szCs w:val="20"/>
          <w:lang w:val="en-US"/>
        </w:rPr>
        <w:t xml:space="preserve"> </w:t>
      </w:r>
      <w:r>
        <w:rPr>
          <w:rFonts w:ascii="Arial" w:hAnsi="Arial" w:eastAsia="Arial" w:cs="Arial"/>
          <w:w w:val="95"/>
          <w:sz w:val="20"/>
          <w:szCs w:val="20"/>
          <w:lang w:val="en-US"/>
        </w:rPr>
        <w:t>–</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Merger Review</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Regulations. This</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form</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provides</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a</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framework</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for</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supplying</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to</w:t>
      </w:r>
      <w:r>
        <w:rPr>
          <w:rFonts w:ascii="Arial" w:hAnsi="Arial" w:eastAsia="Arial" w:cs="Arial"/>
          <w:spacing w:val="-16"/>
          <w:w w:val="95"/>
          <w:sz w:val="20"/>
          <w:szCs w:val="20"/>
          <w:lang w:val="en-US"/>
        </w:rPr>
        <w:t xml:space="preserve"> </w:t>
      </w:r>
      <w:r>
        <w:rPr>
          <w:rFonts w:ascii="Arial" w:hAnsi="Arial" w:eastAsia="Arial" w:cs="Arial"/>
          <w:w w:val="95"/>
          <w:sz w:val="20"/>
          <w:szCs w:val="20"/>
          <w:lang w:val="en-US"/>
        </w:rPr>
        <w:t>the Federal Competition and Consumer Protection Commission,</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the</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information</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required</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under</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part XII</w:t>
      </w:r>
      <w:r>
        <w:rPr>
          <w:rFonts w:ascii="Arial" w:hAnsi="Arial" w:eastAsia="Arial" w:cs="Arial"/>
          <w:color w:val="FF0000"/>
          <w:w w:val="95"/>
          <w:sz w:val="20"/>
          <w:szCs w:val="20"/>
          <w:lang w:val="en-US"/>
        </w:rPr>
        <w:t xml:space="preserve"> </w:t>
      </w:r>
      <w:r>
        <w:rPr>
          <w:rFonts w:ascii="Arial" w:hAnsi="Arial" w:eastAsia="Arial" w:cs="Arial"/>
          <w:i/>
          <w:w w:val="95"/>
          <w:sz w:val="20"/>
          <w:szCs w:val="20"/>
          <w:lang w:val="en-US"/>
        </w:rPr>
        <w:t>of the Federal Competition and Consumer Protection Act</w:t>
      </w:r>
      <w:r>
        <w:rPr>
          <w:rFonts w:ascii="Arial" w:hAnsi="Arial" w:eastAsia="Arial" w:cs="Arial"/>
          <w:w w:val="95"/>
          <w:sz w:val="20"/>
          <w:szCs w:val="20"/>
          <w:lang w:val="en-US"/>
        </w:rPr>
        <w:t>.</w:t>
      </w:r>
      <w:r>
        <w:rPr>
          <w:rFonts w:ascii="Arial" w:hAnsi="Arial" w:eastAsia="Arial" w:cs="Arial"/>
          <w:spacing w:val="-10"/>
          <w:w w:val="95"/>
          <w:sz w:val="20"/>
          <w:szCs w:val="20"/>
          <w:lang w:val="en-US"/>
        </w:rPr>
        <w:t xml:space="preserve"> </w:t>
      </w:r>
      <w:r>
        <w:rPr>
          <w:rFonts w:ascii="Arial" w:hAnsi="Arial" w:eastAsia="Arial" w:cs="Arial"/>
          <w:w w:val="95"/>
          <w:sz w:val="20"/>
          <w:szCs w:val="20"/>
          <w:lang w:val="en-US"/>
        </w:rPr>
        <w:t xml:space="preserve">This </w:t>
      </w:r>
      <w:r>
        <w:rPr>
          <w:rFonts w:ascii="Arial" w:hAnsi="Arial" w:eastAsia="Arial" w:cs="Arial"/>
          <w:sz w:val="20"/>
          <w:szCs w:val="20"/>
          <w:lang w:val="en-US"/>
        </w:rPr>
        <w:t>form should be completed jointly by parties to the proposed transaction. The</w:t>
      </w:r>
      <w:r>
        <w:rPr>
          <w:rFonts w:ascii="Arial" w:hAnsi="Arial" w:eastAsia="Arial" w:cs="Arial"/>
          <w:spacing w:val="-28"/>
          <w:sz w:val="20"/>
          <w:szCs w:val="20"/>
          <w:lang w:val="en-US"/>
        </w:rPr>
        <w:t xml:space="preserve"> </w:t>
      </w:r>
      <w:r>
        <w:rPr>
          <w:rFonts w:ascii="Arial" w:hAnsi="Arial" w:eastAsia="Arial" w:cs="Arial"/>
          <w:sz w:val="20"/>
          <w:szCs w:val="20"/>
          <w:lang w:val="en-US"/>
        </w:rPr>
        <w:t>requested</w:t>
      </w:r>
      <w:r>
        <w:rPr>
          <w:rFonts w:ascii="Arial" w:hAnsi="Arial" w:eastAsia="Arial" w:cs="Arial"/>
          <w:spacing w:val="-28"/>
          <w:sz w:val="20"/>
          <w:szCs w:val="20"/>
          <w:lang w:val="en-US"/>
        </w:rPr>
        <w:t xml:space="preserve"> </w:t>
      </w:r>
      <w:r>
        <w:rPr>
          <w:rFonts w:ascii="Arial" w:hAnsi="Arial" w:eastAsia="Arial" w:cs="Arial"/>
          <w:sz w:val="20"/>
          <w:szCs w:val="20"/>
          <w:lang w:val="en-US"/>
        </w:rPr>
        <w:t>information</w:t>
      </w:r>
      <w:r>
        <w:rPr>
          <w:rFonts w:ascii="Arial" w:hAnsi="Arial" w:eastAsia="Arial" w:cs="Arial"/>
          <w:spacing w:val="-28"/>
          <w:sz w:val="20"/>
          <w:szCs w:val="20"/>
          <w:lang w:val="en-US"/>
        </w:rPr>
        <w:t xml:space="preserve"> </w:t>
      </w:r>
      <w:r>
        <w:rPr>
          <w:rFonts w:ascii="Arial" w:hAnsi="Arial" w:eastAsia="Arial" w:cs="Arial"/>
          <w:sz w:val="20"/>
          <w:szCs w:val="20"/>
          <w:lang w:val="en-US"/>
        </w:rPr>
        <w:t>may</w:t>
      </w:r>
      <w:r>
        <w:rPr>
          <w:rFonts w:ascii="Arial" w:hAnsi="Arial" w:eastAsia="Arial" w:cs="Arial"/>
          <w:spacing w:val="-28"/>
          <w:sz w:val="20"/>
          <w:szCs w:val="20"/>
          <w:lang w:val="en-US"/>
        </w:rPr>
        <w:t xml:space="preserve"> </w:t>
      </w:r>
      <w:r>
        <w:rPr>
          <w:rFonts w:ascii="Arial" w:hAnsi="Arial" w:eastAsia="Arial" w:cs="Arial"/>
          <w:sz w:val="20"/>
          <w:szCs w:val="20"/>
          <w:lang w:val="en-US"/>
        </w:rPr>
        <w:t>be</w:t>
      </w:r>
      <w:r>
        <w:rPr>
          <w:rFonts w:ascii="Arial" w:hAnsi="Arial" w:eastAsia="Arial" w:cs="Arial"/>
          <w:spacing w:val="-28"/>
          <w:sz w:val="20"/>
          <w:szCs w:val="20"/>
          <w:lang w:val="en-US"/>
        </w:rPr>
        <w:t xml:space="preserve"> </w:t>
      </w:r>
      <w:r>
        <w:rPr>
          <w:rFonts w:ascii="Arial" w:hAnsi="Arial" w:eastAsia="Arial" w:cs="Arial"/>
          <w:sz w:val="20"/>
          <w:szCs w:val="20"/>
          <w:lang w:val="en-US"/>
        </w:rPr>
        <w:t>provided</w:t>
      </w:r>
      <w:r>
        <w:rPr>
          <w:rFonts w:ascii="Arial" w:hAnsi="Arial" w:eastAsia="Arial" w:cs="Arial"/>
          <w:spacing w:val="-28"/>
          <w:sz w:val="20"/>
          <w:szCs w:val="20"/>
          <w:lang w:val="en-US"/>
        </w:rPr>
        <w:t xml:space="preserve"> </w:t>
      </w:r>
      <w:r>
        <w:rPr>
          <w:rFonts w:ascii="Arial" w:hAnsi="Arial" w:eastAsia="Arial" w:cs="Arial"/>
          <w:sz w:val="20"/>
          <w:szCs w:val="20"/>
          <w:lang w:val="en-US"/>
        </w:rPr>
        <w:t>on</w:t>
      </w:r>
      <w:r>
        <w:rPr>
          <w:rFonts w:ascii="Arial" w:hAnsi="Arial" w:eastAsia="Arial" w:cs="Arial"/>
          <w:spacing w:val="-27"/>
          <w:sz w:val="20"/>
          <w:szCs w:val="20"/>
          <w:lang w:val="en-US"/>
        </w:rPr>
        <w:t xml:space="preserve"> </w:t>
      </w:r>
      <w:r>
        <w:rPr>
          <w:rFonts w:ascii="Arial" w:hAnsi="Arial" w:eastAsia="Arial" w:cs="Arial"/>
          <w:sz w:val="20"/>
          <w:szCs w:val="20"/>
          <w:lang w:val="en-US"/>
        </w:rPr>
        <w:t>the</w:t>
      </w:r>
      <w:r>
        <w:rPr>
          <w:rFonts w:ascii="Arial" w:hAnsi="Arial" w:eastAsia="Arial" w:cs="Arial"/>
          <w:spacing w:val="-28"/>
          <w:sz w:val="20"/>
          <w:szCs w:val="20"/>
          <w:lang w:val="en-US"/>
        </w:rPr>
        <w:t xml:space="preserve"> </w:t>
      </w:r>
      <w:r>
        <w:rPr>
          <w:rFonts w:ascii="Arial" w:hAnsi="Arial" w:eastAsia="Arial" w:cs="Arial"/>
          <w:sz w:val="20"/>
          <w:szCs w:val="20"/>
          <w:lang w:val="en-US"/>
        </w:rPr>
        <w:t>form</w:t>
      </w:r>
      <w:r>
        <w:rPr>
          <w:rFonts w:ascii="Arial" w:hAnsi="Arial" w:eastAsia="Arial" w:cs="Arial"/>
          <w:spacing w:val="-28"/>
          <w:sz w:val="20"/>
          <w:szCs w:val="20"/>
          <w:lang w:val="en-US"/>
        </w:rPr>
        <w:t xml:space="preserve"> </w:t>
      </w:r>
      <w:r>
        <w:rPr>
          <w:rFonts w:ascii="Arial" w:hAnsi="Arial" w:eastAsia="Arial" w:cs="Arial"/>
          <w:sz w:val="20"/>
          <w:szCs w:val="20"/>
          <w:lang w:val="en-US"/>
        </w:rPr>
        <w:t>or</w:t>
      </w:r>
      <w:r>
        <w:rPr>
          <w:rFonts w:ascii="Arial" w:hAnsi="Arial" w:eastAsia="Arial" w:cs="Arial"/>
          <w:spacing w:val="-28"/>
          <w:sz w:val="20"/>
          <w:szCs w:val="20"/>
          <w:lang w:val="en-US"/>
        </w:rPr>
        <w:t xml:space="preserve"> </w:t>
      </w:r>
      <w:r>
        <w:rPr>
          <w:rFonts w:ascii="Arial" w:hAnsi="Arial" w:eastAsia="Arial" w:cs="Arial"/>
          <w:sz w:val="20"/>
          <w:szCs w:val="20"/>
          <w:lang w:val="en-US"/>
        </w:rPr>
        <w:t>in</w:t>
      </w:r>
      <w:r>
        <w:rPr>
          <w:rFonts w:ascii="Arial" w:hAnsi="Arial" w:eastAsia="Arial" w:cs="Arial"/>
          <w:spacing w:val="-28"/>
          <w:sz w:val="20"/>
          <w:szCs w:val="20"/>
          <w:lang w:val="en-US"/>
        </w:rPr>
        <w:t xml:space="preserve"> </w:t>
      </w:r>
      <w:r>
        <w:rPr>
          <w:rFonts w:ascii="Arial" w:hAnsi="Arial" w:eastAsia="Arial" w:cs="Arial"/>
          <w:sz w:val="20"/>
          <w:szCs w:val="20"/>
          <w:lang w:val="en-US"/>
        </w:rPr>
        <w:t>appendices</w:t>
      </w:r>
      <w:r>
        <w:rPr>
          <w:rFonts w:ascii="Arial" w:hAnsi="Arial" w:eastAsia="Arial" w:cs="Arial"/>
          <w:spacing w:val="-28"/>
          <w:sz w:val="20"/>
          <w:szCs w:val="20"/>
          <w:lang w:val="en-US"/>
        </w:rPr>
        <w:t xml:space="preserve"> </w:t>
      </w:r>
      <w:r>
        <w:rPr>
          <w:rFonts w:ascii="Arial" w:hAnsi="Arial" w:eastAsia="Arial" w:cs="Arial"/>
          <w:sz w:val="20"/>
          <w:szCs w:val="20"/>
          <w:lang w:val="en-US"/>
        </w:rPr>
        <w:t>identified</w:t>
      </w:r>
      <w:r>
        <w:rPr>
          <w:rFonts w:ascii="Arial" w:hAnsi="Arial" w:eastAsia="Arial" w:cs="Arial"/>
          <w:spacing w:val="-28"/>
          <w:sz w:val="20"/>
          <w:szCs w:val="20"/>
          <w:lang w:val="en-US"/>
        </w:rPr>
        <w:t xml:space="preserve"> </w:t>
      </w:r>
      <w:r>
        <w:rPr>
          <w:rFonts w:ascii="Arial" w:hAnsi="Arial" w:eastAsia="Arial" w:cs="Arial"/>
          <w:sz w:val="20"/>
          <w:szCs w:val="20"/>
          <w:lang w:val="en-US"/>
        </w:rPr>
        <w:t>by</w:t>
      </w:r>
      <w:r>
        <w:rPr>
          <w:rFonts w:ascii="Arial" w:hAnsi="Arial" w:eastAsia="Arial" w:cs="Arial"/>
          <w:spacing w:val="-28"/>
          <w:sz w:val="20"/>
          <w:szCs w:val="20"/>
          <w:lang w:val="en-US"/>
        </w:rPr>
        <w:t xml:space="preserve"> </w:t>
      </w:r>
      <w:r>
        <w:rPr>
          <w:rFonts w:ascii="Arial" w:hAnsi="Arial" w:eastAsia="Arial" w:cs="Arial"/>
          <w:sz w:val="20"/>
          <w:szCs w:val="20"/>
          <w:lang w:val="en-US"/>
        </w:rPr>
        <w:t>the corresponding</w:t>
      </w:r>
      <w:r>
        <w:rPr>
          <w:rFonts w:ascii="Arial" w:hAnsi="Arial" w:eastAsia="Arial" w:cs="Arial"/>
          <w:spacing w:val="-25"/>
          <w:sz w:val="20"/>
          <w:szCs w:val="20"/>
          <w:lang w:val="en-US"/>
        </w:rPr>
        <w:t xml:space="preserve"> </w:t>
      </w:r>
      <w:r>
        <w:rPr>
          <w:rFonts w:ascii="Arial" w:hAnsi="Arial" w:eastAsia="Arial" w:cs="Arial"/>
          <w:sz w:val="20"/>
          <w:szCs w:val="20"/>
          <w:lang w:val="en-US"/>
        </w:rPr>
        <w:t>section</w:t>
      </w:r>
      <w:r>
        <w:rPr>
          <w:rFonts w:ascii="Arial" w:hAnsi="Arial" w:eastAsia="Arial" w:cs="Arial"/>
          <w:spacing w:val="-25"/>
          <w:sz w:val="20"/>
          <w:szCs w:val="20"/>
          <w:lang w:val="en-US"/>
        </w:rPr>
        <w:t xml:space="preserve"> </w:t>
      </w:r>
      <w:r>
        <w:rPr>
          <w:rFonts w:ascii="Arial" w:hAnsi="Arial" w:eastAsia="Arial" w:cs="Arial"/>
          <w:sz w:val="20"/>
          <w:szCs w:val="20"/>
          <w:lang w:val="en-US"/>
        </w:rPr>
        <w:t>number</w:t>
      </w:r>
      <w:r>
        <w:rPr>
          <w:rFonts w:ascii="Arial" w:hAnsi="Arial" w:eastAsia="Arial" w:cs="Arial"/>
          <w:spacing w:val="-24"/>
          <w:sz w:val="20"/>
          <w:szCs w:val="20"/>
          <w:lang w:val="en-US"/>
        </w:rPr>
        <w:t xml:space="preserve"> </w:t>
      </w:r>
      <w:r>
        <w:rPr>
          <w:rFonts w:ascii="Arial" w:hAnsi="Arial" w:eastAsia="Arial" w:cs="Arial"/>
          <w:sz w:val="20"/>
          <w:szCs w:val="20"/>
          <w:lang w:val="en-US"/>
        </w:rPr>
        <w:t>used</w:t>
      </w:r>
      <w:r>
        <w:rPr>
          <w:rFonts w:ascii="Arial" w:hAnsi="Arial" w:eastAsia="Arial" w:cs="Arial"/>
          <w:spacing w:val="-25"/>
          <w:sz w:val="20"/>
          <w:szCs w:val="20"/>
          <w:lang w:val="en-US"/>
        </w:rPr>
        <w:t xml:space="preserve"> </w:t>
      </w:r>
      <w:r>
        <w:rPr>
          <w:rFonts w:ascii="Arial" w:hAnsi="Arial" w:eastAsia="Arial" w:cs="Arial"/>
          <w:sz w:val="20"/>
          <w:szCs w:val="20"/>
          <w:lang w:val="en-US"/>
        </w:rPr>
        <w:t>in</w:t>
      </w:r>
      <w:r>
        <w:rPr>
          <w:rFonts w:ascii="Arial" w:hAnsi="Arial" w:eastAsia="Arial" w:cs="Arial"/>
          <w:spacing w:val="-24"/>
          <w:sz w:val="20"/>
          <w:szCs w:val="20"/>
          <w:lang w:val="en-US"/>
        </w:rPr>
        <w:t xml:space="preserve"> </w:t>
      </w:r>
      <w:r>
        <w:rPr>
          <w:rFonts w:ascii="Arial" w:hAnsi="Arial" w:eastAsia="Arial" w:cs="Arial"/>
          <w:sz w:val="20"/>
          <w:szCs w:val="20"/>
          <w:lang w:val="en-US"/>
        </w:rPr>
        <w:t>the</w:t>
      </w:r>
      <w:r>
        <w:rPr>
          <w:rFonts w:ascii="Arial" w:hAnsi="Arial" w:eastAsia="Arial" w:cs="Arial"/>
          <w:spacing w:val="-25"/>
          <w:sz w:val="20"/>
          <w:szCs w:val="20"/>
          <w:lang w:val="en-US"/>
        </w:rPr>
        <w:t xml:space="preserve"> </w:t>
      </w:r>
      <w:r>
        <w:rPr>
          <w:rFonts w:ascii="Arial" w:hAnsi="Arial" w:eastAsia="Arial" w:cs="Arial"/>
          <w:sz w:val="20"/>
          <w:szCs w:val="20"/>
          <w:lang w:val="en-US"/>
        </w:rPr>
        <w:t>form</w:t>
      </w:r>
      <w:r>
        <w:rPr>
          <w:rFonts w:ascii="Arial" w:hAnsi="Arial" w:eastAsia="Arial" w:cs="Arial"/>
          <w:spacing w:val="-25"/>
          <w:sz w:val="20"/>
          <w:szCs w:val="20"/>
          <w:lang w:val="en-US"/>
        </w:rPr>
        <w:t xml:space="preserve"> </w:t>
      </w:r>
      <w:r>
        <w:rPr>
          <w:rFonts w:ascii="Arial" w:hAnsi="Arial" w:eastAsia="Arial" w:cs="Arial"/>
          <w:sz w:val="20"/>
          <w:szCs w:val="20"/>
          <w:lang w:val="en-US"/>
        </w:rPr>
        <w:t>and</w:t>
      </w:r>
      <w:r>
        <w:rPr>
          <w:rFonts w:ascii="Arial" w:hAnsi="Arial" w:eastAsia="Arial" w:cs="Arial"/>
          <w:spacing w:val="-24"/>
          <w:sz w:val="20"/>
          <w:szCs w:val="20"/>
          <w:lang w:val="en-US"/>
        </w:rPr>
        <w:t xml:space="preserve"> </w:t>
      </w:r>
      <w:r>
        <w:rPr>
          <w:rFonts w:ascii="Arial" w:hAnsi="Arial" w:eastAsia="Arial" w:cs="Arial"/>
          <w:sz w:val="20"/>
          <w:szCs w:val="20"/>
          <w:lang w:val="en-US"/>
        </w:rPr>
        <w:t>should</w:t>
      </w:r>
      <w:r>
        <w:rPr>
          <w:rFonts w:ascii="Arial" w:hAnsi="Arial" w:eastAsia="Arial" w:cs="Arial"/>
          <w:spacing w:val="-25"/>
          <w:sz w:val="20"/>
          <w:szCs w:val="20"/>
          <w:lang w:val="en-US"/>
        </w:rPr>
        <w:t xml:space="preserve"> </w:t>
      </w:r>
      <w:r>
        <w:rPr>
          <w:rFonts w:ascii="Arial" w:hAnsi="Arial" w:eastAsia="Arial" w:cs="Arial"/>
          <w:sz w:val="20"/>
          <w:szCs w:val="20"/>
          <w:lang w:val="en-US"/>
        </w:rPr>
        <w:t>be</w:t>
      </w:r>
      <w:r>
        <w:rPr>
          <w:rFonts w:ascii="Arial" w:hAnsi="Arial" w:eastAsia="Arial" w:cs="Arial"/>
          <w:spacing w:val="-24"/>
          <w:sz w:val="20"/>
          <w:szCs w:val="20"/>
          <w:lang w:val="en-US"/>
        </w:rPr>
        <w:t xml:space="preserve"> </w:t>
      </w:r>
      <w:r>
        <w:rPr>
          <w:rFonts w:ascii="Arial" w:hAnsi="Arial" w:eastAsia="Arial" w:cs="Arial"/>
          <w:sz w:val="20"/>
          <w:szCs w:val="20"/>
          <w:lang w:val="en-US"/>
        </w:rPr>
        <w:t>bound</w:t>
      </w:r>
      <w:r>
        <w:rPr>
          <w:rFonts w:ascii="Arial" w:hAnsi="Arial" w:eastAsia="Arial" w:cs="Arial"/>
          <w:spacing w:val="-25"/>
          <w:sz w:val="20"/>
          <w:szCs w:val="20"/>
          <w:lang w:val="en-US"/>
        </w:rPr>
        <w:t xml:space="preserve"> </w:t>
      </w:r>
      <w:r>
        <w:rPr>
          <w:rFonts w:ascii="Arial" w:hAnsi="Arial" w:eastAsia="Arial" w:cs="Arial"/>
          <w:sz w:val="20"/>
          <w:szCs w:val="20"/>
          <w:lang w:val="en-US"/>
        </w:rPr>
        <w:t>together.</w:t>
      </w:r>
      <w:r>
        <w:rPr>
          <w:rFonts w:ascii="Arial" w:hAnsi="Arial" w:eastAsia="Arial" w:cs="Arial"/>
          <w:spacing w:val="-25"/>
          <w:sz w:val="20"/>
          <w:szCs w:val="20"/>
          <w:lang w:val="en-US"/>
        </w:rPr>
        <w:t xml:space="preserve"> </w:t>
      </w:r>
    </w:p>
    <w:p/>
    <w:tbl>
      <w:tblPr>
        <w:tblStyle w:val="6"/>
        <w:tblW w:w="11100" w:type="dxa"/>
        <w:tblInd w:w="-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7499"/>
        <w:gridCol w:w="1441"/>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660" w:type="dxa"/>
            <w:gridSpan w:val="3"/>
            <w:tcBorders>
              <w:bottom w:val="nil"/>
              <w:right w:val="nil"/>
            </w:tcBorders>
          </w:tcPr>
          <w:p>
            <w:pPr>
              <w:pStyle w:val="8"/>
              <w:spacing w:before="21" w:line="249" w:lineRule="auto"/>
              <w:ind w:left="457" w:firstLine="2"/>
              <w:rPr>
                <w:b/>
                <w:sz w:val="20"/>
              </w:rPr>
            </w:pPr>
            <w:r>
              <w:rPr>
                <w:sz w:val="18"/>
              </w:rPr>
              <w:t>To</w:t>
            </w:r>
            <w:r>
              <w:rPr>
                <w:spacing w:val="-35"/>
                <w:sz w:val="18"/>
              </w:rPr>
              <w:t xml:space="preserve"> </w:t>
            </w:r>
            <w:r>
              <w:rPr>
                <w:sz w:val="18"/>
              </w:rPr>
              <w:t>supply</w:t>
            </w:r>
            <w:r>
              <w:rPr>
                <w:spacing w:val="-34"/>
                <w:sz w:val="18"/>
              </w:rPr>
              <w:t xml:space="preserve"> </w:t>
            </w:r>
            <w:r>
              <w:rPr>
                <w:sz w:val="18"/>
              </w:rPr>
              <w:t>additional</w:t>
            </w:r>
            <w:r>
              <w:rPr>
                <w:spacing w:val="-34"/>
                <w:sz w:val="18"/>
              </w:rPr>
              <w:t xml:space="preserve"> </w:t>
            </w:r>
            <w:r>
              <w:rPr>
                <w:sz w:val="18"/>
              </w:rPr>
              <w:t>information,</w:t>
            </w:r>
            <w:r>
              <w:rPr>
                <w:spacing w:val="-34"/>
                <w:sz w:val="18"/>
              </w:rPr>
              <w:t xml:space="preserve"> </w:t>
            </w:r>
            <w:r>
              <w:rPr>
                <w:sz w:val="18"/>
              </w:rPr>
              <w:t>please</w:t>
            </w:r>
            <w:r>
              <w:rPr>
                <w:spacing w:val="-34"/>
                <w:sz w:val="18"/>
              </w:rPr>
              <w:t xml:space="preserve"> </w:t>
            </w:r>
            <w:r>
              <w:rPr>
                <w:sz w:val="18"/>
              </w:rPr>
              <w:t>attach</w:t>
            </w:r>
            <w:r>
              <w:rPr>
                <w:spacing w:val="-35"/>
                <w:sz w:val="18"/>
              </w:rPr>
              <w:t xml:space="preserve"> </w:t>
            </w:r>
            <w:r>
              <w:rPr>
                <w:sz w:val="18"/>
              </w:rPr>
              <w:t>appendices</w:t>
            </w:r>
            <w:r>
              <w:rPr>
                <w:spacing w:val="-34"/>
                <w:sz w:val="18"/>
              </w:rPr>
              <w:t xml:space="preserve"> </w:t>
            </w:r>
            <w:r>
              <w:rPr>
                <w:sz w:val="18"/>
              </w:rPr>
              <w:t>where</w:t>
            </w:r>
            <w:r>
              <w:rPr>
                <w:spacing w:val="-34"/>
                <w:sz w:val="18"/>
              </w:rPr>
              <w:t xml:space="preserve"> </w:t>
            </w:r>
            <w:r>
              <w:rPr>
                <w:sz w:val="18"/>
              </w:rPr>
              <w:t>applicable.</w:t>
            </w:r>
            <w:r>
              <w:rPr>
                <w:spacing w:val="-34"/>
                <w:sz w:val="18"/>
              </w:rPr>
              <w:t xml:space="preserve"> </w:t>
            </w:r>
            <w:r>
              <w:rPr>
                <w:sz w:val="18"/>
              </w:rPr>
              <w:t>Indicate</w:t>
            </w:r>
            <w:r>
              <w:rPr>
                <w:spacing w:val="-34"/>
                <w:sz w:val="18"/>
              </w:rPr>
              <w:t xml:space="preserve"> </w:t>
            </w:r>
            <w:r>
              <w:rPr>
                <w:sz w:val="18"/>
              </w:rPr>
              <w:t>the</w:t>
            </w:r>
            <w:r>
              <w:rPr>
                <w:spacing w:val="-35"/>
                <w:sz w:val="18"/>
              </w:rPr>
              <w:t xml:space="preserve"> </w:t>
            </w:r>
            <w:r>
              <w:rPr>
                <w:sz w:val="18"/>
              </w:rPr>
              <w:t>number</w:t>
            </w:r>
            <w:r>
              <w:rPr>
                <w:spacing w:val="-34"/>
                <w:sz w:val="18"/>
              </w:rPr>
              <w:t xml:space="preserve"> </w:t>
            </w:r>
            <w:r>
              <w:rPr>
                <w:spacing w:val="-8"/>
                <w:sz w:val="18"/>
              </w:rPr>
              <w:t xml:space="preserve">of </w:t>
            </w:r>
            <w:r>
              <w:rPr>
                <w:sz w:val="18"/>
              </w:rPr>
              <w:t>pages</w:t>
            </w:r>
            <w:r>
              <w:rPr>
                <w:spacing w:val="-22"/>
                <w:sz w:val="18"/>
              </w:rPr>
              <w:t xml:space="preserve"> </w:t>
            </w:r>
            <w:r>
              <w:rPr>
                <w:sz w:val="18"/>
              </w:rPr>
              <w:t>contained</w:t>
            </w:r>
            <w:r>
              <w:rPr>
                <w:spacing w:val="-21"/>
                <w:sz w:val="18"/>
              </w:rPr>
              <w:t xml:space="preserve"> </w:t>
            </w:r>
            <w:r>
              <w:rPr>
                <w:sz w:val="18"/>
              </w:rPr>
              <w:t>in</w:t>
            </w:r>
            <w:r>
              <w:rPr>
                <w:spacing w:val="-21"/>
                <w:sz w:val="18"/>
              </w:rPr>
              <w:t xml:space="preserve"> </w:t>
            </w:r>
            <w:r>
              <w:rPr>
                <w:sz w:val="18"/>
              </w:rPr>
              <w:t>each</w:t>
            </w:r>
            <w:r>
              <w:rPr>
                <w:spacing w:val="-21"/>
                <w:sz w:val="18"/>
              </w:rPr>
              <w:t xml:space="preserve"> </w:t>
            </w:r>
            <w:r>
              <w:rPr>
                <w:sz w:val="18"/>
              </w:rPr>
              <w:t>appendix</w:t>
            </w:r>
            <w:r>
              <w:rPr>
                <w:spacing w:val="-21"/>
                <w:sz w:val="18"/>
              </w:rPr>
              <w:t xml:space="preserve"> </w:t>
            </w:r>
            <w:r>
              <w:rPr>
                <w:sz w:val="18"/>
              </w:rPr>
              <w:t>in</w:t>
            </w:r>
            <w:r>
              <w:rPr>
                <w:spacing w:val="-21"/>
                <w:sz w:val="18"/>
              </w:rPr>
              <w:t xml:space="preserve"> </w:t>
            </w:r>
            <w:r>
              <w:rPr>
                <w:sz w:val="18"/>
              </w:rPr>
              <w:t>the</w:t>
            </w:r>
            <w:r>
              <w:rPr>
                <w:spacing w:val="-21"/>
                <w:sz w:val="18"/>
              </w:rPr>
              <w:t xml:space="preserve"> </w:t>
            </w:r>
            <w:r>
              <w:rPr>
                <w:sz w:val="18"/>
              </w:rPr>
              <w:t>appropriate</w:t>
            </w:r>
            <w:r>
              <w:rPr>
                <w:spacing w:val="-21"/>
                <w:sz w:val="18"/>
              </w:rPr>
              <w:t xml:space="preserve"> </w:t>
            </w:r>
            <w:r>
              <w:rPr>
                <w:sz w:val="18"/>
              </w:rPr>
              <w:t>column</w:t>
            </w:r>
            <w:r>
              <w:rPr>
                <w:spacing w:val="-21"/>
                <w:sz w:val="18"/>
              </w:rPr>
              <w:t xml:space="preserve"> </w:t>
            </w:r>
            <w:r>
              <w:rPr>
                <w:sz w:val="18"/>
              </w:rPr>
              <w:t>beside</w:t>
            </w:r>
            <w:r>
              <w:rPr>
                <w:spacing w:val="-21"/>
                <w:sz w:val="18"/>
              </w:rPr>
              <w:t xml:space="preserve"> </w:t>
            </w:r>
            <w:r>
              <w:rPr>
                <w:sz w:val="18"/>
              </w:rPr>
              <w:t>each</w:t>
            </w:r>
            <w:r>
              <w:rPr>
                <w:spacing w:val="-21"/>
                <w:sz w:val="18"/>
              </w:rPr>
              <w:t xml:space="preserve"> </w:t>
            </w:r>
            <w:r>
              <w:rPr>
                <w:sz w:val="18"/>
              </w:rPr>
              <w:t>section</w:t>
            </w:r>
            <w:r>
              <w:rPr>
                <w:spacing w:val="-21"/>
                <w:sz w:val="18"/>
              </w:rPr>
              <w:t xml:space="preserve"> </w:t>
            </w:r>
            <w:r>
              <w:rPr>
                <w:sz w:val="18"/>
              </w:rPr>
              <w:t>of</w:t>
            </w:r>
            <w:r>
              <w:rPr>
                <w:spacing w:val="-21"/>
                <w:sz w:val="18"/>
              </w:rPr>
              <w:t xml:space="preserve"> </w:t>
            </w:r>
            <w:r>
              <w:rPr>
                <w:sz w:val="18"/>
              </w:rPr>
              <w:t>this</w:t>
            </w:r>
            <w:r>
              <w:rPr>
                <w:spacing w:val="-21"/>
                <w:sz w:val="18"/>
              </w:rPr>
              <w:t xml:space="preserve"> </w:t>
            </w:r>
            <w:r>
              <w:rPr>
                <w:sz w:val="18"/>
              </w:rPr>
              <w:t>form.</w:t>
            </w:r>
          </w:p>
        </w:tc>
        <w:tc>
          <w:tcPr>
            <w:tcW w:w="1440" w:type="dxa"/>
            <w:tcBorders>
              <w:left w:val="nil"/>
              <w:bottom w:val="nil"/>
            </w:tcBorders>
          </w:tcPr>
          <w:p>
            <w:pPr>
              <w:pStyle w:val="8"/>
              <w:spacing w:before="10"/>
              <w:ind w:left="393" w:right="379"/>
              <w:jc w:val="center"/>
              <w:rPr>
                <w:b/>
                <w:sz w:val="20"/>
              </w:rPr>
            </w:pPr>
            <w:r>
              <w:rPr>
                <w:b/>
                <w:sz w:val="20"/>
              </w:rPr>
              <w:t>No. of pages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11100" w:type="dxa"/>
            <w:gridSpan w:val="4"/>
            <w:tcBorders>
              <w:top w:val="nil"/>
              <w:left w:val="nil"/>
              <w:bottom w:val="nil"/>
              <w:right w:val="nil"/>
            </w:tcBorders>
            <w:shd w:val="clear" w:color="auto" w:fill="000000" w:themeFill="text1"/>
          </w:tcPr>
          <w:p>
            <w:pPr>
              <w:pStyle w:val="8"/>
              <w:spacing w:before="151"/>
              <w:ind w:left="148"/>
              <w:rPr>
                <w:b/>
                <w:sz w:val="20"/>
              </w:rPr>
            </w:pPr>
            <w:r>
              <w:rPr>
                <w:b/>
                <w:color w:val="FFFFFF"/>
                <w:sz w:val="20"/>
              </w:rPr>
              <w:t xml:space="preserve">1. </w:t>
            </w:r>
            <w:r>
              <w:rPr>
                <w:b/>
                <w:bCs/>
                <w:color w:val="FFFFFF"/>
                <w:sz w:val="20"/>
                <w:lang w:val="en-GB"/>
              </w:rPr>
              <w:t>BACKGROUND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11100" w:type="dxa"/>
            <w:gridSpan w:val="4"/>
            <w:tcBorders>
              <w:top w:val="nil"/>
              <w:left w:val="nil"/>
              <w:bottom w:val="nil"/>
              <w:right w:val="nil"/>
            </w:tcBorders>
            <w:shd w:val="clear" w:color="auto" w:fill="E7E6E6" w:themeFill="background2"/>
          </w:tcPr>
          <w:p>
            <w:pPr>
              <w:pStyle w:val="8"/>
              <w:spacing w:before="151"/>
              <w:ind w:left="148"/>
              <w:rPr>
                <w:b/>
                <w:color w:val="FFFFFF"/>
                <w:sz w:val="20"/>
              </w:rPr>
            </w:pPr>
            <w:r>
              <w:rPr>
                <w:b/>
                <w:sz w:val="20"/>
                <w:lang w:val="en-GB"/>
              </w:rPr>
              <w:t>Information on the notifying party (or parties)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720" w:type="dxa"/>
            <w:tcBorders>
              <w:top w:val="nil"/>
              <w:bottom w:val="single" w:color="000000" w:sz="4" w:space="0"/>
              <w:right w:val="single" w:color="auto" w:sz="4" w:space="0"/>
            </w:tcBorders>
          </w:tcPr>
          <w:p>
            <w:pPr>
              <w:pStyle w:val="8"/>
              <w:spacing w:before="101"/>
              <w:ind w:left="143"/>
              <w:rPr>
                <w:sz w:val="20"/>
              </w:rPr>
            </w:pPr>
            <w:r>
              <w:rPr>
                <w:sz w:val="20"/>
              </w:rPr>
              <w:t>1.1</w:t>
            </w:r>
          </w:p>
        </w:tc>
        <w:tc>
          <w:tcPr>
            <w:tcW w:w="8940" w:type="dxa"/>
            <w:gridSpan w:val="2"/>
            <w:tcBorders>
              <w:top w:val="nil"/>
              <w:left w:val="single" w:color="auto" w:sz="4" w:space="0"/>
              <w:right w:val="single" w:color="auto" w:sz="4" w:space="0"/>
            </w:tcBorders>
          </w:tcPr>
          <w:p>
            <w:pPr>
              <w:pStyle w:val="8"/>
              <w:spacing w:before="101"/>
              <w:ind w:left="180" w:right="300"/>
              <w:jc w:val="both"/>
              <w:rPr>
                <w:sz w:val="20"/>
                <w:lang w:val="en-GB"/>
              </w:rPr>
            </w:pPr>
            <w:r>
              <w:rPr>
                <w:sz w:val="20"/>
                <w:lang w:val="en-GB"/>
              </w:rPr>
              <w:t xml:space="preserve">Give details of: </w:t>
            </w:r>
          </w:p>
          <w:p>
            <w:pPr>
              <w:pStyle w:val="8"/>
              <w:numPr>
                <w:ilvl w:val="0"/>
                <w:numId w:val="1"/>
              </w:numPr>
              <w:tabs>
                <w:tab w:val="left" w:pos="8550"/>
              </w:tabs>
              <w:spacing w:before="101"/>
              <w:ind w:left="540" w:right="300" w:hanging="270"/>
              <w:jc w:val="both"/>
              <w:rPr>
                <w:sz w:val="20"/>
                <w:lang w:val="en-GB"/>
              </w:rPr>
            </w:pPr>
            <w:r>
              <w:rPr>
                <w:sz w:val="20"/>
                <w:lang w:val="en-GB"/>
              </w:rPr>
              <w:t xml:space="preserve">the name and address of merger parties; </w:t>
            </w:r>
          </w:p>
          <w:p>
            <w:pPr>
              <w:pStyle w:val="8"/>
              <w:numPr>
                <w:ilvl w:val="0"/>
                <w:numId w:val="1"/>
              </w:numPr>
              <w:tabs>
                <w:tab w:val="left" w:pos="8550"/>
              </w:tabs>
              <w:spacing w:before="101"/>
              <w:ind w:left="540" w:right="300" w:hanging="270"/>
              <w:jc w:val="both"/>
              <w:rPr>
                <w:sz w:val="20"/>
                <w:lang w:val="en-GB"/>
              </w:rPr>
            </w:pPr>
            <w:r>
              <w:rPr>
                <w:sz w:val="20"/>
                <w:lang w:val="en-GB"/>
              </w:rPr>
              <w:t>the nature of the merger parties's business;</w:t>
            </w:r>
          </w:p>
          <w:p>
            <w:pPr>
              <w:pStyle w:val="8"/>
              <w:numPr>
                <w:ilvl w:val="0"/>
                <w:numId w:val="1"/>
              </w:numPr>
              <w:tabs>
                <w:tab w:val="left" w:pos="8550"/>
              </w:tabs>
              <w:spacing w:before="101"/>
              <w:ind w:left="540" w:right="300" w:hanging="270"/>
              <w:jc w:val="both"/>
              <w:rPr>
                <w:sz w:val="20"/>
                <w:lang w:val="en-GB"/>
              </w:rPr>
            </w:pPr>
            <w:bookmarkStart w:id="0" w:name="_GoBack"/>
            <w:bookmarkEnd w:id="0"/>
            <w:r>
              <w:rPr>
                <w:sz w:val="20"/>
                <w:lang w:val="en-GB"/>
              </w:rPr>
              <w:t xml:space="preserve">the name, address, telephone number, fax number and electronic address of, and position held by, the appropriate contact person; and </w:t>
            </w:r>
          </w:p>
          <w:p>
            <w:pPr>
              <w:pStyle w:val="8"/>
              <w:numPr>
                <w:ilvl w:val="0"/>
                <w:numId w:val="1"/>
              </w:numPr>
              <w:tabs>
                <w:tab w:val="left" w:pos="8550"/>
              </w:tabs>
              <w:spacing w:before="101"/>
              <w:ind w:left="540" w:right="300" w:hanging="270"/>
              <w:jc w:val="both"/>
              <w:rPr>
                <w:sz w:val="20"/>
                <w:lang w:val="en-GB"/>
              </w:rPr>
            </w:pPr>
            <w:r>
              <w:rPr>
                <w:sz w:val="20"/>
                <w:lang w:val="en-GB"/>
              </w:rPr>
              <w:t xml:space="preserve">an address for service of the notifying party (or each of the notifying parties) to which documents and, in particular, Commission decisions may be delivered. </w:t>
            </w:r>
          </w:p>
          <w:p>
            <w:pPr>
              <w:pStyle w:val="8"/>
              <w:tabs>
                <w:tab w:val="left" w:pos="8550"/>
              </w:tabs>
              <w:spacing w:before="101"/>
              <w:ind w:left="540" w:right="300"/>
              <w:jc w:val="both"/>
              <w:rPr>
                <w:sz w:val="20"/>
                <w:lang w:val="en-GB"/>
              </w:rPr>
            </w:pPr>
            <w:r>
              <w:rPr>
                <w:sz w:val="20"/>
                <w:lang w:val="en-GB"/>
              </w:rPr>
              <w:t>(</w:t>
            </w:r>
            <w:r>
              <w:rPr>
                <w:sz w:val="18"/>
                <w:szCs w:val="20"/>
                <w:lang w:val="en-GB"/>
              </w:rPr>
              <w:t>The name, telephone number and e-mail address of a person at this address who is authorised to accept service must be provided.)</w:t>
            </w:r>
          </w:p>
          <w:p>
            <w:pPr>
              <w:pStyle w:val="8"/>
              <w:rPr>
                <w:rFonts w:ascii="Times New Roman"/>
                <w:sz w:val="18"/>
              </w:rPr>
            </w:pPr>
          </w:p>
        </w:tc>
        <w:tc>
          <w:tcPr>
            <w:tcW w:w="1440" w:type="dxa"/>
            <w:tcBorders>
              <w:top w:val="nil"/>
              <w:left w:val="single" w:color="auto" w:sz="4" w:space="0"/>
              <w:bottom w:val="single" w:color="000000" w:sz="4"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8219" w:type="dxa"/>
            <w:gridSpan w:val="2"/>
            <w:tcBorders>
              <w:top w:val="nil"/>
              <w:bottom w:val="single" w:color="000000" w:sz="4" w:space="0"/>
              <w:right w:val="nil"/>
            </w:tcBorders>
            <w:shd w:val="clear" w:color="auto" w:fill="E7E6E6" w:themeFill="background2"/>
          </w:tcPr>
          <w:p>
            <w:pPr>
              <w:pStyle w:val="8"/>
              <w:ind w:left="180" w:right="300"/>
              <w:rPr>
                <w:b/>
                <w:bCs/>
                <w:sz w:val="12"/>
                <w:szCs w:val="14"/>
              </w:rPr>
            </w:pPr>
          </w:p>
          <w:p>
            <w:pPr>
              <w:pStyle w:val="8"/>
              <w:ind w:left="180" w:right="300"/>
              <w:rPr>
                <w:b/>
                <w:bCs/>
                <w:sz w:val="20"/>
              </w:rPr>
            </w:pPr>
            <w:r>
              <w:rPr>
                <w:b/>
                <w:bCs/>
                <w:sz w:val="20"/>
              </w:rPr>
              <w:t xml:space="preserve">Information on the other parties to the Merger </w:t>
            </w:r>
          </w:p>
        </w:tc>
        <w:tc>
          <w:tcPr>
            <w:tcW w:w="2881" w:type="dxa"/>
            <w:gridSpan w:val="2"/>
            <w:tcBorders>
              <w:top w:val="nil"/>
              <w:left w:val="nil"/>
            </w:tcBorders>
            <w:shd w:val="clear" w:color="auto" w:fill="E7E6E6" w:themeFill="background2"/>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720" w:type="dxa"/>
            <w:tcBorders>
              <w:top w:val="single" w:color="000000" w:sz="4" w:space="0"/>
              <w:right w:val="single" w:color="auto" w:sz="4" w:space="0"/>
            </w:tcBorders>
          </w:tcPr>
          <w:p>
            <w:pPr>
              <w:pStyle w:val="8"/>
              <w:spacing w:before="101"/>
              <w:ind w:left="143"/>
              <w:rPr>
                <w:sz w:val="20"/>
              </w:rPr>
            </w:pPr>
            <w:r>
              <w:rPr>
                <w:sz w:val="20"/>
              </w:rPr>
              <w:t xml:space="preserve"> 1.2</w:t>
            </w:r>
          </w:p>
        </w:tc>
        <w:tc>
          <w:tcPr>
            <w:tcW w:w="8940" w:type="dxa"/>
            <w:gridSpan w:val="2"/>
            <w:tcBorders>
              <w:top w:val="nil"/>
              <w:left w:val="single" w:color="auto" w:sz="4" w:space="0"/>
              <w:right w:val="single" w:color="auto" w:sz="4" w:space="0"/>
            </w:tcBorders>
          </w:tcPr>
          <w:p>
            <w:pPr>
              <w:pStyle w:val="8"/>
              <w:spacing w:before="101"/>
              <w:ind w:left="180" w:right="300"/>
              <w:jc w:val="both"/>
              <w:rPr>
                <w:sz w:val="20"/>
                <w:lang w:val="en-GB"/>
              </w:rPr>
            </w:pPr>
            <w:r>
              <w:rPr>
                <w:sz w:val="20"/>
                <w:lang w:val="en-GB"/>
              </w:rPr>
              <w:t xml:space="preserve">For each party to the Merger (except the notifying party or parties) give details of: </w:t>
            </w:r>
          </w:p>
          <w:p>
            <w:pPr>
              <w:pStyle w:val="8"/>
              <w:numPr>
                <w:ilvl w:val="0"/>
                <w:numId w:val="2"/>
              </w:numPr>
              <w:spacing w:before="101"/>
              <w:ind w:right="300"/>
              <w:jc w:val="both"/>
              <w:rPr>
                <w:sz w:val="20"/>
              </w:rPr>
            </w:pPr>
            <w:r>
              <w:rPr>
                <w:sz w:val="20"/>
                <w:lang w:val="en-GB"/>
              </w:rPr>
              <w:t xml:space="preserve">the name and address of merger party; </w:t>
            </w:r>
          </w:p>
          <w:p>
            <w:pPr>
              <w:pStyle w:val="8"/>
              <w:numPr>
                <w:ilvl w:val="0"/>
                <w:numId w:val="2"/>
              </w:numPr>
              <w:spacing w:before="101"/>
              <w:ind w:right="300"/>
              <w:jc w:val="both"/>
              <w:rPr>
                <w:sz w:val="20"/>
              </w:rPr>
            </w:pPr>
            <w:r>
              <w:rPr>
                <w:sz w:val="20"/>
                <w:lang w:val="en-GB"/>
              </w:rPr>
              <w:t xml:space="preserve">the nature of merger party's business; </w:t>
            </w:r>
          </w:p>
          <w:p>
            <w:pPr>
              <w:pStyle w:val="8"/>
              <w:numPr>
                <w:ilvl w:val="0"/>
                <w:numId w:val="2"/>
              </w:numPr>
              <w:spacing w:before="101"/>
              <w:ind w:right="300"/>
              <w:jc w:val="both"/>
              <w:rPr>
                <w:sz w:val="20"/>
              </w:rPr>
            </w:pPr>
            <w:r>
              <w:rPr>
                <w:sz w:val="20"/>
                <w:lang w:val="en-GB"/>
              </w:rPr>
              <w:t xml:space="preserve">the name, address, telephone number, fax number and electronic address of, and position held by the appropriate contact person; </w:t>
            </w:r>
          </w:p>
          <w:p>
            <w:pPr>
              <w:pStyle w:val="8"/>
              <w:numPr>
                <w:ilvl w:val="0"/>
                <w:numId w:val="2"/>
              </w:numPr>
              <w:spacing w:before="101"/>
              <w:ind w:right="300"/>
              <w:jc w:val="both"/>
              <w:rPr>
                <w:sz w:val="20"/>
              </w:rPr>
            </w:pPr>
            <w:r>
              <w:rPr>
                <w:sz w:val="20"/>
                <w:lang w:val="en-GB"/>
              </w:rPr>
              <w:t>an address for service of the party (or each of the parties) to which documents and in particular, Commission Decisions may be delivered. The name, e-mail address and telephone number of a person at this address who is authorised to accept service must be provided.</w:t>
            </w:r>
          </w:p>
          <w:p>
            <w:pPr>
              <w:pStyle w:val="8"/>
              <w:ind w:left="-30"/>
              <w:rPr>
                <w:rFonts w:ascii="Times New Roman"/>
                <w:sz w:val="18"/>
              </w:rPr>
            </w:pPr>
          </w:p>
        </w:tc>
        <w:tc>
          <w:tcPr>
            <w:tcW w:w="1440" w:type="dxa"/>
            <w:tcBorders>
              <w:top w:val="single" w:color="000000" w:sz="4" w:space="0"/>
              <w:left w:val="single" w:color="auto" w:sz="4" w:space="0"/>
              <w:bottom w:val="single" w:color="000000" w:sz="4"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9660" w:type="dxa"/>
            <w:gridSpan w:val="3"/>
            <w:tcBorders>
              <w:top w:val="single" w:color="000000" w:sz="4" w:space="0"/>
              <w:right w:val="nil"/>
            </w:tcBorders>
            <w:shd w:val="clear" w:color="auto" w:fill="E7E6E6" w:themeFill="background2"/>
          </w:tcPr>
          <w:p>
            <w:pPr>
              <w:pStyle w:val="8"/>
              <w:ind w:left="180"/>
              <w:rPr>
                <w:b/>
                <w:bCs/>
                <w:sz w:val="12"/>
                <w:szCs w:val="16"/>
                <w:lang w:val="en-GB"/>
              </w:rPr>
            </w:pPr>
          </w:p>
          <w:p>
            <w:pPr>
              <w:pStyle w:val="8"/>
              <w:ind w:left="180"/>
              <w:rPr>
                <w:b/>
                <w:bCs/>
                <w:sz w:val="18"/>
              </w:rPr>
            </w:pPr>
            <w:r>
              <w:rPr>
                <w:b/>
                <w:bCs/>
                <w:sz w:val="20"/>
                <w:szCs w:val="24"/>
                <w:lang w:val="en-GB"/>
              </w:rPr>
              <w:t>Appointment of representatives</w:t>
            </w:r>
          </w:p>
        </w:tc>
        <w:tc>
          <w:tcPr>
            <w:tcW w:w="1440" w:type="dxa"/>
            <w:tcBorders>
              <w:top w:val="single" w:color="000000" w:sz="4" w:space="0"/>
              <w:left w:val="nil"/>
            </w:tcBorders>
            <w:shd w:val="clear" w:color="auto" w:fill="E7E6E6" w:themeFill="background2"/>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7" w:hRule="atLeast"/>
        </w:trPr>
        <w:tc>
          <w:tcPr>
            <w:tcW w:w="720" w:type="dxa"/>
          </w:tcPr>
          <w:p>
            <w:pPr>
              <w:pStyle w:val="8"/>
              <w:spacing w:before="101"/>
              <w:ind w:left="143"/>
              <w:rPr>
                <w:sz w:val="20"/>
              </w:rPr>
            </w:pPr>
            <w:r>
              <w:rPr>
                <w:sz w:val="20"/>
              </w:rPr>
              <w:t>1.3</w:t>
            </w:r>
          </w:p>
        </w:tc>
        <w:tc>
          <w:tcPr>
            <w:tcW w:w="8940" w:type="dxa"/>
            <w:gridSpan w:val="2"/>
          </w:tcPr>
          <w:p>
            <w:pPr>
              <w:pStyle w:val="8"/>
              <w:spacing w:line="276" w:lineRule="auto"/>
              <w:ind w:left="180" w:right="302"/>
              <w:jc w:val="both"/>
              <w:rPr>
                <w:sz w:val="20"/>
                <w:lang w:val="en-GB"/>
              </w:rPr>
            </w:pPr>
            <w:r>
              <w:rPr>
                <w:sz w:val="20"/>
                <w:lang w:val="en-GB"/>
              </w:rPr>
              <w:t xml:space="preserve">Where representatives of the merger parties are appointed, such representatives must produce written proof that they are authorized to act. The written proof must contain the name and position of the persons granting such authority. </w:t>
            </w:r>
          </w:p>
          <w:p>
            <w:pPr>
              <w:pStyle w:val="8"/>
              <w:spacing w:line="276" w:lineRule="auto"/>
              <w:ind w:left="180" w:right="302"/>
              <w:jc w:val="both"/>
              <w:rPr>
                <w:sz w:val="20"/>
                <w:lang w:val="en-GB"/>
              </w:rPr>
            </w:pPr>
          </w:p>
          <w:p>
            <w:pPr>
              <w:pStyle w:val="8"/>
              <w:spacing w:line="276" w:lineRule="auto"/>
              <w:ind w:left="180" w:right="302"/>
              <w:jc w:val="both"/>
              <w:rPr>
                <w:sz w:val="20"/>
                <w:lang w:val="en-GB"/>
              </w:rPr>
            </w:pPr>
            <w:r>
              <w:rPr>
                <w:sz w:val="20"/>
                <w:lang w:val="en-GB"/>
              </w:rPr>
              <w:t xml:space="preserve">Provide the following contact details of any representatives who have been authorized to act for any of the parties to the merger, indicating whom they represent: </w:t>
            </w:r>
          </w:p>
          <w:p>
            <w:pPr>
              <w:pStyle w:val="8"/>
              <w:spacing w:line="276" w:lineRule="auto"/>
              <w:ind w:left="180" w:right="302"/>
              <w:jc w:val="both"/>
              <w:rPr>
                <w:sz w:val="20"/>
                <w:lang w:val="en-GB"/>
              </w:rPr>
            </w:pPr>
          </w:p>
          <w:p>
            <w:pPr>
              <w:pStyle w:val="8"/>
              <w:numPr>
                <w:ilvl w:val="0"/>
                <w:numId w:val="3"/>
              </w:numPr>
              <w:spacing w:line="276" w:lineRule="auto"/>
              <w:ind w:left="630" w:right="302" w:hanging="270"/>
              <w:jc w:val="both"/>
              <w:rPr>
                <w:sz w:val="20"/>
                <w:lang w:val="en-GB"/>
              </w:rPr>
            </w:pPr>
            <w:r>
              <w:rPr>
                <w:sz w:val="20"/>
                <w:lang w:val="en-GB"/>
              </w:rPr>
              <w:t xml:space="preserve">the name of the representative; </w:t>
            </w:r>
          </w:p>
          <w:p>
            <w:pPr>
              <w:pStyle w:val="8"/>
              <w:numPr>
                <w:ilvl w:val="0"/>
                <w:numId w:val="3"/>
              </w:numPr>
              <w:spacing w:line="276" w:lineRule="auto"/>
              <w:ind w:left="630" w:right="302" w:hanging="270"/>
              <w:jc w:val="both"/>
              <w:rPr>
                <w:sz w:val="20"/>
                <w:lang w:val="en-GB"/>
              </w:rPr>
            </w:pPr>
            <w:r>
              <w:rPr>
                <w:sz w:val="20"/>
                <w:lang w:val="en-GB"/>
              </w:rPr>
              <w:t xml:space="preserve">the address of the representative; </w:t>
            </w:r>
          </w:p>
          <w:p>
            <w:pPr>
              <w:pStyle w:val="8"/>
              <w:numPr>
                <w:ilvl w:val="0"/>
                <w:numId w:val="3"/>
              </w:numPr>
              <w:spacing w:line="276" w:lineRule="auto"/>
              <w:ind w:left="630" w:right="302" w:hanging="270"/>
              <w:jc w:val="both"/>
              <w:rPr>
                <w:sz w:val="20"/>
                <w:lang w:val="en-GB"/>
              </w:rPr>
            </w:pPr>
            <w:r>
              <w:rPr>
                <w:sz w:val="20"/>
                <w:lang w:val="en-GB"/>
              </w:rPr>
              <w:t xml:space="preserve">the name, address, telephone number, fax number and e-mail address of the person to be contacted; and </w:t>
            </w:r>
          </w:p>
          <w:p>
            <w:pPr>
              <w:pStyle w:val="8"/>
              <w:numPr>
                <w:ilvl w:val="0"/>
                <w:numId w:val="3"/>
              </w:numPr>
              <w:spacing w:line="276" w:lineRule="auto"/>
              <w:ind w:left="630" w:right="302" w:hanging="270"/>
              <w:jc w:val="both"/>
              <w:rPr>
                <w:sz w:val="20"/>
                <w:lang w:val="en-GB"/>
              </w:rPr>
            </w:pPr>
            <w:r>
              <w:rPr>
                <w:sz w:val="20"/>
                <w:lang w:val="en-GB"/>
              </w:rPr>
              <w:t>an address of the representative to which correspondence may be sent and documents delivered. (if different from above)</w:t>
            </w:r>
          </w:p>
          <w:p>
            <w:pPr>
              <w:pStyle w:val="8"/>
              <w:ind w:left="630" w:right="300"/>
              <w:jc w:val="both"/>
              <w:rPr>
                <w:sz w:val="14"/>
                <w:szCs w:val="16"/>
                <w:lang w:val="en-GB"/>
              </w:rPr>
            </w:pPr>
          </w:p>
        </w:tc>
        <w:tc>
          <w:tcPr>
            <w:tcW w:w="1440" w:type="dxa"/>
            <w:tcBorders>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trPr>
        <w:tc>
          <w:tcPr>
            <w:tcW w:w="9660" w:type="dxa"/>
            <w:gridSpan w:val="3"/>
            <w:tcBorders>
              <w:top w:val="single" w:color="auto" w:sz="4" w:space="0"/>
              <w:left w:val="single" w:color="auto" w:sz="4" w:space="0"/>
              <w:bottom w:val="single" w:color="auto" w:sz="4" w:space="0"/>
              <w:right w:val="nil"/>
            </w:tcBorders>
            <w:shd w:val="clear" w:color="auto" w:fill="000000" w:themeFill="text1"/>
          </w:tcPr>
          <w:p>
            <w:pPr>
              <w:pStyle w:val="8"/>
              <w:numPr>
                <w:ilvl w:val="0"/>
                <w:numId w:val="4"/>
              </w:numPr>
              <w:spacing w:before="151"/>
              <w:rPr>
                <w:b/>
                <w:sz w:val="20"/>
              </w:rPr>
            </w:pPr>
            <w:r>
              <w:rPr>
                <w:b/>
                <w:bCs/>
                <w:sz w:val="20"/>
                <w:lang w:val="en-GB"/>
              </w:rPr>
              <w:t>GENERAL BACKGROUND AND DETAILS OF THE MERGER</w:t>
            </w:r>
          </w:p>
        </w:tc>
        <w:tc>
          <w:tcPr>
            <w:tcW w:w="1440" w:type="dxa"/>
            <w:tcBorders>
              <w:top w:val="single" w:color="auto" w:sz="4" w:space="0"/>
              <w:left w:val="nil"/>
              <w:bottom w:val="single" w:color="auto" w:sz="4" w:space="0"/>
              <w:right w:val="single" w:color="auto" w:sz="4" w:space="0"/>
            </w:tcBorders>
            <w:shd w:val="clear" w:color="auto" w:fill="000000" w:themeFill="text1"/>
          </w:tcPr>
          <w:p>
            <w:pPr>
              <w:pStyle w:val="8"/>
              <w:spacing w:before="151"/>
              <w:rPr>
                <w:b/>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8"/>
              <w:spacing w:before="101"/>
              <w:ind w:left="148"/>
              <w:rPr>
                <w:sz w:val="20"/>
              </w:rPr>
            </w:pPr>
            <w:r>
              <w:rPr>
                <w:sz w:val="20"/>
              </w:rPr>
              <w:t xml:space="preserve">  2.1</w:t>
            </w:r>
          </w:p>
        </w:tc>
        <w:tc>
          <w:tcPr>
            <w:tcW w:w="8940" w:type="dxa"/>
            <w:gridSpan w:val="2"/>
            <w:tcBorders>
              <w:top w:val="single" w:color="auto" w:sz="4" w:space="0"/>
              <w:left w:val="single" w:color="auto" w:sz="4" w:space="0"/>
              <w:bottom w:val="single" w:color="auto" w:sz="4" w:space="0"/>
              <w:right w:val="single" w:color="auto" w:sz="4" w:space="0"/>
            </w:tcBorders>
            <w:shd w:val="clear" w:color="auto" w:fill="auto"/>
          </w:tcPr>
          <w:p>
            <w:pPr>
              <w:pStyle w:val="8"/>
              <w:spacing w:line="276" w:lineRule="auto"/>
              <w:rPr>
                <w:sz w:val="14"/>
                <w:szCs w:val="16"/>
                <w:lang w:val="en-GB"/>
              </w:rPr>
            </w:pPr>
          </w:p>
          <w:p>
            <w:pPr>
              <w:pStyle w:val="8"/>
              <w:spacing w:line="276" w:lineRule="auto"/>
              <w:ind w:left="180" w:right="300"/>
              <w:jc w:val="both"/>
              <w:rPr>
                <w:sz w:val="20"/>
                <w:lang w:val="en-GB"/>
              </w:rPr>
            </w:pPr>
            <w:r>
              <w:rPr>
                <w:sz w:val="20"/>
                <w:lang w:val="en-GB"/>
              </w:rPr>
              <w:t xml:space="preserve">Describe the general background to the merger. In particular, give an overview of the main reasons for the transaction, including its economic and strategic rationale. </w:t>
            </w:r>
          </w:p>
          <w:p>
            <w:pPr>
              <w:pStyle w:val="8"/>
              <w:spacing w:line="276" w:lineRule="auto"/>
              <w:ind w:left="180" w:right="300"/>
              <w:jc w:val="both"/>
              <w:rPr>
                <w:sz w:val="20"/>
                <w:lang w:val="en-GB"/>
              </w:rPr>
            </w:pPr>
          </w:p>
          <w:p>
            <w:pPr>
              <w:pStyle w:val="8"/>
              <w:spacing w:line="276" w:lineRule="auto"/>
              <w:ind w:left="180" w:right="300"/>
              <w:jc w:val="both"/>
              <w:rPr>
                <w:sz w:val="20"/>
                <w:lang w:val="en-GB"/>
              </w:rPr>
            </w:pPr>
            <w:r>
              <w:rPr>
                <w:sz w:val="20"/>
                <w:lang w:val="en-GB"/>
              </w:rPr>
              <w:t>Provide an executive summary of the merger, specifying the parties to the merger, the nature of the merger (for example, merger, acquisition, or joint venture.), the areas of activity of the notifying parties, the markets on which the merger will have an impact (including the main affected markets ), and the strategic and economic rationale for the merger.</w:t>
            </w:r>
          </w:p>
          <w:p>
            <w:pPr>
              <w:pStyle w:val="8"/>
              <w:spacing w:line="276" w:lineRule="auto"/>
              <w:ind w:left="180" w:right="300"/>
              <w:jc w:val="both"/>
              <w:rPr>
                <w:rFonts w:ascii="Times New Roman"/>
                <w:sz w:val="18"/>
              </w:rPr>
            </w:pPr>
          </w:p>
        </w:tc>
        <w:tc>
          <w:tcPr>
            <w:tcW w:w="1440" w:type="dxa"/>
            <w:tcBorders>
              <w:top w:val="nil"/>
              <w:left w:val="single" w:color="auto" w:sz="4" w:space="0"/>
              <w:bottom w:val="single" w:color="auto" w:sz="4" w:space="0"/>
              <w:right w:val="single" w:color="auto" w:sz="4" w:space="0"/>
            </w:tcBorders>
            <w:shd w:val="clear" w:color="auto" w:fill="auto"/>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8"/>
              <w:spacing w:before="101"/>
              <w:ind w:left="148"/>
              <w:rPr>
                <w:sz w:val="20"/>
              </w:rPr>
            </w:pPr>
            <w:r>
              <w:rPr>
                <w:sz w:val="20"/>
              </w:rPr>
              <w:t xml:space="preserve"> 2.2</w:t>
            </w:r>
          </w:p>
        </w:tc>
        <w:tc>
          <w:tcPr>
            <w:tcW w:w="8940" w:type="dxa"/>
            <w:gridSpan w:val="2"/>
            <w:tcBorders>
              <w:top w:val="single" w:color="auto" w:sz="4" w:space="0"/>
              <w:left w:val="single" w:color="auto" w:sz="4" w:space="0"/>
              <w:bottom w:val="single" w:color="auto" w:sz="4" w:space="0"/>
              <w:right w:val="single" w:color="auto" w:sz="4" w:space="0"/>
            </w:tcBorders>
            <w:shd w:val="clear" w:color="auto" w:fill="auto"/>
          </w:tcPr>
          <w:p>
            <w:pPr>
              <w:pStyle w:val="8"/>
              <w:ind w:left="180" w:right="300"/>
              <w:jc w:val="both"/>
              <w:rPr>
                <w:sz w:val="16"/>
                <w:szCs w:val="18"/>
                <w:lang w:val="en-GB"/>
              </w:rPr>
            </w:pPr>
          </w:p>
          <w:p>
            <w:pPr>
              <w:pStyle w:val="8"/>
              <w:ind w:left="180" w:right="300"/>
              <w:jc w:val="both"/>
              <w:rPr>
                <w:sz w:val="20"/>
                <w:lang w:val="en-GB"/>
              </w:rPr>
            </w:pPr>
            <w:r>
              <w:rPr>
                <w:sz w:val="20"/>
                <w:lang w:val="en-GB"/>
              </w:rPr>
              <w:t xml:space="preserve">Describe the legal nature of the transaction. In doing so, indicate: </w:t>
            </w:r>
          </w:p>
          <w:p>
            <w:pPr>
              <w:pStyle w:val="8"/>
              <w:ind w:left="180" w:right="300"/>
              <w:jc w:val="both"/>
              <w:rPr>
                <w:sz w:val="20"/>
                <w:lang w:val="en-GB"/>
              </w:rPr>
            </w:pPr>
          </w:p>
          <w:p>
            <w:pPr>
              <w:pStyle w:val="8"/>
              <w:numPr>
                <w:ilvl w:val="0"/>
                <w:numId w:val="5"/>
              </w:numPr>
              <w:spacing w:line="276" w:lineRule="auto"/>
              <w:ind w:left="547" w:right="302"/>
              <w:jc w:val="both"/>
              <w:rPr>
                <w:sz w:val="14"/>
                <w:szCs w:val="16"/>
                <w:lang w:val="en-GB"/>
              </w:rPr>
            </w:pPr>
            <w:r>
              <w:rPr>
                <w:sz w:val="20"/>
                <w:lang w:val="en-GB"/>
              </w:rPr>
              <w:t xml:space="preserve">whether the whole or parts of the parties are subject to the merger; </w:t>
            </w:r>
          </w:p>
          <w:p>
            <w:pPr>
              <w:pStyle w:val="8"/>
              <w:numPr>
                <w:ilvl w:val="0"/>
                <w:numId w:val="5"/>
              </w:numPr>
              <w:spacing w:line="276" w:lineRule="auto"/>
              <w:ind w:left="547" w:right="302"/>
              <w:jc w:val="both"/>
              <w:rPr>
                <w:sz w:val="14"/>
                <w:szCs w:val="16"/>
                <w:lang w:val="en-GB"/>
              </w:rPr>
            </w:pPr>
            <w:r>
              <w:rPr>
                <w:sz w:val="20"/>
                <w:lang w:val="en-GB"/>
              </w:rPr>
              <w:t xml:space="preserve">the proposed or expected date of any major events designed to bring about the completion of the merger; </w:t>
            </w:r>
          </w:p>
          <w:p>
            <w:pPr>
              <w:pStyle w:val="8"/>
              <w:numPr>
                <w:ilvl w:val="0"/>
                <w:numId w:val="5"/>
              </w:numPr>
              <w:spacing w:line="276" w:lineRule="auto"/>
              <w:ind w:left="547" w:right="302"/>
              <w:jc w:val="both"/>
              <w:rPr>
                <w:sz w:val="14"/>
                <w:szCs w:val="16"/>
                <w:lang w:val="en-GB"/>
              </w:rPr>
            </w:pPr>
            <w:r>
              <w:rPr>
                <w:sz w:val="20"/>
                <w:lang w:val="en-GB"/>
              </w:rPr>
              <w:t xml:space="preserve">the proposed structure of ownership and control after the completion of the merger; and </w:t>
            </w:r>
          </w:p>
          <w:p>
            <w:pPr>
              <w:pStyle w:val="8"/>
              <w:numPr>
                <w:ilvl w:val="0"/>
                <w:numId w:val="5"/>
              </w:numPr>
              <w:spacing w:line="276" w:lineRule="auto"/>
              <w:ind w:left="547" w:right="302"/>
              <w:jc w:val="both"/>
              <w:rPr>
                <w:sz w:val="14"/>
                <w:szCs w:val="16"/>
                <w:lang w:val="en-GB"/>
              </w:rPr>
            </w:pPr>
            <w:r>
              <w:rPr>
                <w:sz w:val="20"/>
                <w:lang w:val="en-GB"/>
              </w:rPr>
              <w:t xml:space="preserve">whether the proposed transaction is a merger within the meaning of Section 92 of the </w:t>
            </w:r>
            <w:r>
              <w:rPr>
                <w:iCs/>
                <w:sz w:val="20"/>
                <w:lang w:val="en-GB"/>
              </w:rPr>
              <w:t>Federal Competition and Consumer Protection Act.</w:t>
            </w:r>
          </w:p>
          <w:p>
            <w:pPr>
              <w:pStyle w:val="8"/>
              <w:ind w:left="540" w:right="300"/>
              <w:jc w:val="both"/>
              <w:rPr>
                <w:sz w:val="14"/>
                <w:szCs w:val="16"/>
                <w:lang w:val="en-GB"/>
              </w:rPr>
            </w:pPr>
          </w:p>
        </w:tc>
        <w:tc>
          <w:tcPr>
            <w:tcW w:w="1440" w:type="dxa"/>
            <w:tcBorders>
              <w:top w:val="nil"/>
              <w:left w:val="single" w:color="auto" w:sz="4" w:space="0"/>
              <w:bottom w:val="single" w:color="auto" w:sz="4" w:space="0"/>
              <w:right w:val="single" w:color="auto" w:sz="4" w:space="0"/>
            </w:tcBorders>
            <w:shd w:val="clear" w:color="auto" w:fill="auto"/>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8"/>
              <w:spacing w:before="101"/>
              <w:ind w:left="148"/>
              <w:rPr>
                <w:sz w:val="20"/>
              </w:rPr>
            </w:pPr>
            <w:r>
              <w:rPr>
                <w:sz w:val="20"/>
              </w:rPr>
              <w:t xml:space="preserve"> 2.3</w:t>
            </w:r>
          </w:p>
        </w:tc>
        <w:tc>
          <w:tcPr>
            <w:tcW w:w="8940" w:type="dxa"/>
            <w:gridSpan w:val="2"/>
            <w:tcBorders>
              <w:top w:val="single" w:color="auto" w:sz="4" w:space="0"/>
              <w:left w:val="single" w:color="auto" w:sz="4" w:space="0"/>
              <w:bottom w:val="single" w:color="auto" w:sz="4" w:space="0"/>
              <w:right w:val="single" w:color="auto" w:sz="4" w:space="0"/>
            </w:tcBorders>
            <w:shd w:val="clear" w:color="auto" w:fill="auto"/>
          </w:tcPr>
          <w:p>
            <w:pPr>
              <w:pStyle w:val="8"/>
              <w:ind w:left="180" w:right="300"/>
              <w:jc w:val="both"/>
              <w:rPr>
                <w:sz w:val="12"/>
                <w:szCs w:val="14"/>
                <w:lang w:val="en-GB"/>
              </w:rPr>
            </w:pPr>
          </w:p>
          <w:p>
            <w:pPr>
              <w:pStyle w:val="8"/>
              <w:ind w:left="180" w:right="300"/>
              <w:jc w:val="both"/>
              <w:rPr>
                <w:sz w:val="20"/>
                <w:lang w:val="en-GB"/>
              </w:rPr>
            </w:pPr>
            <w:r>
              <w:rPr>
                <w:sz w:val="20"/>
                <w:lang w:val="en-GB"/>
              </w:rPr>
              <w:t xml:space="preserve">List the economic sectors involved in the merger. </w:t>
            </w:r>
          </w:p>
          <w:p>
            <w:pPr>
              <w:pStyle w:val="8"/>
              <w:ind w:left="180" w:right="300"/>
              <w:jc w:val="both"/>
              <w:rPr>
                <w:sz w:val="20"/>
                <w:lang w:val="en-GB"/>
              </w:rPr>
            </w:pPr>
          </w:p>
          <w:p>
            <w:pPr>
              <w:pStyle w:val="8"/>
              <w:ind w:left="180" w:right="300"/>
              <w:jc w:val="both"/>
              <w:rPr>
                <w:sz w:val="20"/>
                <w:lang w:val="en-GB"/>
              </w:rPr>
            </w:pPr>
            <w:r>
              <w:rPr>
                <w:sz w:val="20"/>
                <w:lang w:val="en-GB"/>
              </w:rPr>
              <w:t xml:space="preserve">State the value of the transaction (the purchase price or the value of all the assets involved, as the case may be). </w:t>
            </w:r>
          </w:p>
          <w:p>
            <w:pPr>
              <w:pStyle w:val="8"/>
              <w:ind w:right="300"/>
              <w:jc w:val="both"/>
              <w:rPr>
                <w:sz w:val="20"/>
                <w:lang w:val="en-GB"/>
              </w:rPr>
            </w:pPr>
            <w:r>
              <w:rPr>
                <w:sz w:val="20"/>
                <w:lang w:val="en-GB"/>
              </w:rPr>
              <w:t>.</w:t>
            </w:r>
          </w:p>
        </w:tc>
        <w:tc>
          <w:tcPr>
            <w:tcW w:w="1440" w:type="dxa"/>
            <w:tcBorders>
              <w:top w:val="nil"/>
              <w:left w:val="single" w:color="auto" w:sz="4" w:space="0"/>
              <w:bottom w:val="single" w:color="auto" w:sz="4" w:space="0"/>
              <w:right w:val="single" w:color="auto" w:sz="4" w:space="0"/>
            </w:tcBorders>
            <w:shd w:val="clear" w:color="auto" w:fill="auto"/>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left w:val="single" w:color="auto" w:sz="4" w:space="0"/>
              <w:bottom w:val="single" w:color="auto" w:sz="4" w:space="0"/>
              <w:right w:val="single" w:color="auto" w:sz="4" w:space="0"/>
            </w:tcBorders>
            <w:shd w:val="clear" w:color="auto" w:fill="auto"/>
          </w:tcPr>
          <w:p>
            <w:pPr>
              <w:pStyle w:val="8"/>
              <w:spacing w:before="101"/>
              <w:ind w:left="148"/>
              <w:rPr>
                <w:sz w:val="20"/>
              </w:rPr>
            </w:pPr>
            <w:r>
              <w:rPr>
                <w:sz w:val="20"/>
              </w:rPr>
              <w:t xml:space="preserve"> 2.4 </w:t>
            </w:r>
          </w:p>
        </w:tc>
        <w:tc>
          <w:tcPr>
            <w:tcW w:w="8940" w:type="dxa"/>
            <w:gridSpan w:val="2"/>
            <w:tcBorders>
              <w:top w:val="single" w:color="auto" w:sz="4" w:space="0"/>
              <w:left w:val="single" w:color="auto" w:sz="4" w:space="0"/>
              <w:bottom w:val="single" w:color="auto" w:sz="4" w:space="0"/>
              <w:right w:val="single" w:color="auto" w:sz="4" w:space="0"/>
            </w:tcBorders>
            <w:shd w:val="clear" w:color="auto" w:fill="auto"/>
          </w:tcPr>
          <w:p>
            <w:pPr>
              <w:pStyle w:val="8"/>
              <w:ind w:left="180" w:right="300"/>
              <w:jc w:val="both"/>
              <w:rPr>
                <w:sz w:val="20"/>
                <w:lang w:val="en-GB"/>
              </w:rPr>
            </w:pPr>
          </w:p>
          <w:p>
            <w:pPr>
              <w:pStyle w:val="8"/>
              <w:ind w:left="180" w:right="300"/>
              <w:jc w:val="both"/>
              <w:rPr>
                <w:sz w:val="20"/>
                <w:lang w:val="en-GB"/>
              </w:rPr>
            </w:pPr>
            <w:r>
              <w:rPr>
                <w:sz w:val="20"/>
                <w:lang w:val="en-GB"/>
              </w:rPr>
              <w:t>Provide sufficient financial or other data to show that the merger meets OR does not meet the merger thresholds.</w:t>
            </w:r>
          </w:p>
          <w:p>
            <w:pPr>
              <w:pStyle w:val="8"/>
              <w:ind w:right="300"/>
              <w:jc w:val="both"/>
              <w:rPr>
                <w:sz w:val="12"/>
                <w:szCs w:val="14"/>
                <w:lang w:val="en-GB"/>
              </w:rPr>
            </w:pPr>
          </w:p>
        </w:tc>
        <w:tc>
          <w:tcPr>
            <w:tcW w:w="1440" w:type="dxa"/>
            <w:tcBorders>
              <w:top w:val="nil"/>
              <w:left w:val="single" w:color="auto" w:sz="4" w:space="0"/>
              <w:bottom w:val="single" w:color="auto" w:sz="4" w:space="0"/>
              <w:right w:val="single" w:color="auto" w:sz="4" w:space="0"/>
            </w:tcBorders>
            <w:shd w:val="clear" w:color="auto" w:fill="auto"/>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720" w:type="dxa"/>
            <w:tcBorders>
              <w:top w:val="single" w:color="auto" w:sz="4" w:space="0"/>
              <w:left w:val="single" w:color="auto" w:sz="4" w:space="0"/>
              <w:bottom w:val="single" w:color="auto" w:sz="4" w:space="0"/>
              <w:right w:val="single" w:color="auto" w:sz="4" w:space="0"/>
            </w:tcBorders>
            <w:shd w:val="clear" w:color="auto" w:fill="000000" w:themeFill="text1"/>
          </w:tcPr>
          <w:p>
            <w:pPr>
              <w:pStyle w:val="8"/>
              <w:numPr>
                <w:ilvl w:val="0"/>
                <w:numId w:val="4"/>
              </w:numPr>
              <w:spacing w:before="101"/>
              <w:rPr>
                <w:sz w:val="20"/>
              </w:rPr>
            </w:pPr>
          </w:p>
        </w:tc>
        <w:tc>
          <w:tcPr>
            <w:tcW w:w="8940" w:type="dxa"/>
            <w:gridSpan w:val="2"/>
            <w:tcBorders>
              <w:top w:val="single" w:color="auto" w:sz="4" w:space="0"/>
              <w:left w:val="single" w:color="auto" w:sz="4" w:space="0"/>
              <w:bottom w:val="single" w:color="auto" w:sz="4" w:space="0"/>
              <w:right w:val="single" w:color="auto" w:sz="4" w:space="0"/>
            </w:tcBorders>
            <w:shd w:val="clear" w:color="auto" w:fill="000000" w:themeFill="text1"/>
          </w:tcPr>
          <w:p>
            <w:pPr>
              <w:pStyle w:val="8"/>
              <w:rPr>
                <w:b/>
                <w:bCs/>
                <w:sz w:val="14"/>
                <w:szCs w:val="16"/>
                <w:lang w:val="en-GB"/>
              </w:rPr>
            </w:pPr>
          </w:p>
          <w:p>
            <w:pPr>
              <w:pStyle w:val="8"/>
              <w:rPr>
                <w:rFonts w:ascii="Times New Roman"/>
                <w:sz w:val="18"/>
              </w:rPr>
            </w:pPr>
            <w:r>
              <w:rPr>
                <w:b/>
                <w:bCs/>
                <w:sz w:val="20"/>
                <w:lang w:val="en-GB"/>
              </w:rPr>
              <w:t>OWNERSHIP AND CONTROL</w:t>
            </w:r>
          </w:p>
        </w:tc>
        <w:tc>
          <w:tcPr>
            <w:tcW w:w="1440" w:type="dxa"/>
            <w:tcBorders>
              <w:top w:val="single" w:color="auto" w:sz="4" w:space="0"/>
              <w:left w:val="single" w:color="auto" w:sz="4" w:space="0"/>
              <w:bottom w:val="single" w:color="auto" w:sz="4" w:space="0"/>
              <w:right w:val="single" w:color="auto" w:sz="4" w:space="0"/>
            </w:tcBorders>
            <w:shd w:val="clear" w:color="auto" w:fill="000000" w:themeFill="text1"/>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8" w:hRule="atLeast"/>
        </w:trPr>
        <w:tc>
          <w:tcPr>
            <w:tcW w:w="720" w:type="dxa"/>
            <w:tcBorders>
              <w:top w:val="single" w:color="auto" w:sz="4" w:space="0"/>
              <w:right w:val="single" w:color="auto" w:sz="4" w:space="0"/>
            </w:tcBorders>
          </w:tcPr>
          <w:p>
            <w:pPr>
              <w:pStyle w:val="8"/>
              <w:spacing w:before="101"/>
              <w:ind w:left="143"/>
              <w:rPr>
                <w:sz w:val="20"/>
              </w:rPr>
            </w:pPr>
            <w:r>
              <w:rPr>
                <w:sz w:val="20"/>
              </w:rPr>
              <w:t xml:space="preserve">  3.1</w:t>
            </w:r>
          </w:p>
        </w:tc>
        <w:tc>
          <w:tcPr>
            <w:tcW w:w="8940" w:type="dxa"/>
            <w:gridSpan w:val="2"/>
            <w:tcBorders>
              <w:top w:val="single" w:color="auto" w:sz="4" w:space="0"/>
              <w:left w:val="single" w:color="auto" w:sz="4" w:space="0"/>
              <w:right w:val="single" w:color="auto" w:sz="4" w:space="0"/>
            </w:tcBorders>
          </w:tcPr>
          <w:p>
            <w:pPr>
              <w:pStyle w:val="8"/>
              <w:spacing w:before="101" w:line="276" w:lineRule="auto"/>
              <w:ind w:left="180" w:right="302"/>
              <w:jc w:val="both"/>
              <w:rPr>
                <w:sz w:val="20"/>
                <w:szCs w:val="24"/>
                <w:lang w:val="en-GB"/>
              </w:rPr>
            </w:pPr>
            <w:r>
              <w:rPr>
                <w:sz w:val="20"/>
                <w:szCs w:val="24"/>
                <w:lang w:val="en-GB"/>
              </w:rPr>
              <w:t>For each of the parties to the merger provide a list of all merger parties belonging to the same group. This list must include:</w:t>
            </w:r>
          </w:p>
          <w:p>
            <w:pPr>
              <w:pStyle w:val="8"/>
              <w:numPr>
                <w:ilvl w:val="0"/>
                <w:numId w:val="6"/>
              </w:numPr>
              <w:spacing w:before="101" w:line="276" w:lineRule="auto"/>
              <w:ind w:right="302"/>
              <w:jc w:val="both"/>
              <w:rPr>
                <w:sz w:val="20"/>
                <w:szCs w:val="24"/>
                <w:lang w:val="en-GB"/>
              </w:rPr>
            </w:pPr>
            <w:r>
              <w:rPr>
                <w:sz w:val="20"/>
                <w:szCs w:val="24"/>
                <w:lang w:val="en-GB"/>
              </w:rPr>
              <w:t xml:space="preserve">all merger parties or persons controlling these parties, directly or indirectly; </w:t>
            </w:r>
          </w:p>
          <w:p>
            <w:pPr>
              <w:pStyle w:val="8"/>
              <w:numPr>
                <w:ilvl w:val="0"/>
                <w:numId w:val="6"/>
              </w:numPr>
              <w:spacing w:before="101" w:line="276" w:lineRule="auto"/>
              <w:ind w:right="302"/>
              <w:jc w:val="both"/>
              <w:rPr>
                <w:sz w:val="20"/>
                <w:szCs w:val="24"/>
                <w:lang w:val="en-GB"/>
              </w:rPr>
            </w:pPr>
            <w:r>
              <w:rPr>
                <w:sz w:val="20"/>
                <w:szCs w:val="24"/>
                <w:lang w:val="en-GB"/>
              </w:rPr>
              <w:t xml:space="preserve">all merger parties active on any </w:t>
            </w:r>
            <w:r>
              <w:rPr>
                <w:sz w:val="20"/>
                <w:szCs w:val="24"/>
                <w:highlight w:val="yellow"/>
                <w:lang w:val="en-GB"/>
              </w:rPr>
              <w:t>affected market</w:t>
            </w:r>
            <w:r>
              <w:rPr>
                <w:sz w:val="20"/>
                <w:szCs w:val="24"/>
                <w:lang w:val="en-GB"/>
              </w:rPr>
              <w:t xml:space="preserve"> that are controlled, directly or indirectly: (a) by these parties; </w:t>
            </w:r>
          </w:p>
          <w:p>
            <w:pPr>
              <w:pStyle w:val="8"/>
              <w:spacing w:before="101" w:line="276" w:lineRule="auto"/>
              <w:ind w:left="900" w:right="302"/>
              <w:jc w:val="both"/>
              <w:rPr>
                <w:sz w:val="20"/>
                <w:szCs w:val="24"/>
                <w:lang w:val="en-GB"/>
              </w:rPr>
            </w:pPr>
            <w:r>
              <w:rPr>
                <w:sz w:val="20"/>
                <w:szCs w:val="24"/>
                <w:lang w:val="en-GB"/>
              </w:rPr>
              <w:t xml:space="preserve">(b) by any other merger parties identified in 3.1(i) above. </w:t>
            </w:r>
          </w:p>
          <w:p>
            <w:pPr>
              <w:pStyle w:val="8"/>
              <w:spacing w:before="101" w:line="276" w:lineRule="auto"/>
              <w:ind w:left="900" w:right="302"/>
              <w:jc w:val="both"/>
              <w:rPr>
                <w:sz w:val="20"/>
                <w:szCs w:val="24"/>
                <w:lang w:val="en-GB"/>
              </w:rPr>
            </w:pPr>
          </w:p>
          <w:p>
            <w:pPr>
              <w:pStyle w:val="8"/>
              <w:spacing w:before="101" w:line="276" w:lineRule="auto"/>
              <w:ind w:left="180" w:right="302"/>
              <w:jc w:val="both"/>
              <w:rPr>
                <w:sz w:val="20"/>
                <w:szCs w:val="24"/>
                <w:lang w:val="en-GB"/>
              </w:rPr>
            </w:pPr>
            <w:r>
              <w:rPr>
                <w:sz w:val="20"/>
                <w:szCs w:val="24"/>
                <w:lang w:val="en-GB"/>
              </w:rPr>
              <w:t>For each entry listed above, the nature and means of control should be specified. The information sought in this section may be illustrated by the use of organization charts or diagrams to show the structure of ownership and control of the merging parties.</w:t>
            </w:r>
          </w:p>
          <w:p>
            <w:pPr>
              <w:pStyle w:val="8"/>
              <w:spacing w:before="101" w:line="276" w:lineRule="auto"/>
              <w:ind w:left="180" w:right="302"/>
              <w:jc w:val="both"/>
              <w:rPr>
                <w:sz w:val="18"/>
              </w:rPr>
            </w:pPr>
          </w:p>
        </w:tc>
        <w:tc>
          <w:tcPr>
            <w:tcW w:w="1440" w:type="dxa"/>
            <w:tcBorders>
              <w:top w:val="single" w:color="auto" w:sz="4" w:space="0"/>
              <w:left w:val="single" w:color="auto" w:sz="4" w:space="0"/>
              <w:right w:val="single" w:color="auto" w:sz="4" w:space="0"/>
            </w:tcBorders>
            <w:shd w:val="clear" w:color="auto" w:fill="auto"/>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8"/>
              <w:numPr>
                <w:ilvl w:val="0"/>
                <w:numId w:val="4"/>
              </w:numPr>
              <w:spacing w:before="101"/>
              <w:rPr>
                <w:sz w:val="20"/>
              </w:rPr>
            </w:pPr>
          </w:p>
        </w:tc>
        <w:tc>
          <w:tcPr>
            <w:tcW w:w="8940" w:type="dxa"/>
            <w:gridSpan w:val="2"/>
            <w:tcBorders>
              <w:right w:val="nil"/>
            </w:tcBorders>
            <w:shd w:val="clear" w:color="auto" w:fill="000000" w:themeFill="text1"/>
          </w:tcPr>
          <w:p>
            <w:pPr>
              <w:pStyle w:val="8"/>
              <w:rPr>
                <w:b/>
                <w:bCs/>
                <w:sz w:val="12"/>
                <w:szCs w:val="14"/>
                <w:lang w:val="en-GB"/>
              </w:rPr>
            </w:pPr>
          </w:p>
          <w:p>
            <w:pPr>
              <w:pStyle w:val="8"/>
              <w:rPr>
                <w:rFonts w:ascii="Times New Roman"/>
                <w:sz w:val="18"/>
              </w:rPr>
            </w:pPr>
            <w:r>
              <w:rPr>
                <w:b/>
                <w:bCs/>
                <w:sz w:val="20"/>
                <w:lang w:val="en-GB"/>
              </w:rPr>
              <w:t>MARKET DEFINITIONS</w:t>
            </w:r>
          </w:p>
        </w:tc>
        <w:tc>
          <w:tcPr>
            <w:tcW w:w="1440" w:type="dxa"/>
            <w:tcBorders>
              <w:left w:val="nil"/>
              <w:right w:val="single" w:color="000000" w:sz="6" w:space="0"/>
            </w:tcBorders>
            <w:shd w:val="clear" w:color="auto" w:fill="000000" w:themeFill="text1"/>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4.1. </w:t>
            </w:r>
          </w:p>
        </w:tc>
        <w:tc>
          <w:tcPr>
            <w:tcW w:w="8940" w:type="dxa"/>
            <w:gridSpan w:val="2"/>
            <w:tcBorders>
              <w:right w:val="single" w:color="auto" w:sz="4" w:space="0"/>
            </w:tcBorders>
          </w:tcPr>
          <w:p>
            <w:pPr>
              <w:pStyle w:val="8"/>
              <w:ind w:left="180" w:right="300"/>
              <w:jc w:val="both"/>
              <w:rPr>
                <w:sz w:val="20"/>
                <w:lang w:val="en-GB"/>
              </w:rPr>
            </w:pPr>
          </w:p>
          <w:p>
            <w:pPr>
              <w:pStyle w:val="8"/>
              <w:spacing w:line="276" w:lineRule="auto"/>
              <w:ind w:left="187" w:right="302"/>
              <w:jc w:val="both"/>
              <w:rPr>
                <w:rFonts w:ascii="Times New Roman"/>
                <w:sz w:val="18"/>
              </w:rPr>
            </w:pPr>
            <w:r>
              <w:rPr>
                <w:sz w:val="20"/>
                <w:lang w:val="en-GB"/>
              </w:rPr>
              <w:t>The relevant product and geographic markets determine the scope within which the market power of the new entity resulting from the merger must be assessed. The notifying party or parties must provide the data requested having regard to the following definitions:</w:t>
            </w: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A.</w:t>
            </w:r>
          </w:p>
        </w:tc>
        <w:tc>
          <w:tcPr>
            <w:tcW w:w="8940" w:type="dxa"/>
            <w:gridSpan w:val="2"/>
            <w:tcBorders>
              <w:right w:val="nil"/>
            </w:tcBorders>
            <w:shd w:val="clear" w:color="auto" w:fill="E7E6E6" w:themeFill="background2"/>
          </w:tcPr>
          <w:p>
            <w:pPr>
              <w:pStyle w:val="8"/>
              <w:rPr>
                <w:sz w:val="14"/>
                <w:szCs w:val="16"/>
                <w:lang w:val="en-GB"/>
              </w:rPr>
            </w:pPr>
            <w:r>
              <w:rPr>
                <w:sz w:val="20"/>
                <w:lang w:val="en-GB"/>
              </w:rPr>
              <w:t xml:space="preserve"> </w:t>
            </w:r>
          </w:p>
          <w:p>
            <w:pPr>
              <w:pStyle w:val="8"/>
              <w:rPr>
                <w:b/>
                <w:bCs/>
                <w:sz w:val="20"/>
                <w:lang w:val="en-GB"/>
              </w:rPr>
            </w:pPr>
            <w:r>
              <w:rPr>
                <w:sz w:val="20"/>
                <w:lang w:val="en-GB"/>
              </w:rPr>
              <w:t xml:space="preserve"> </w:t>
            </w:r>
            <w:r>
              <w:rPr>
                <w:b/>
                <w:bCs/>
                <w:sz w:val="20"/>
                <w:lang w:val="en-GB"/>
              </w:rPr>
              <w:t xml:space="preserve">Relevant product markets </w:t>
            </w:r>
          </w:p>
        </w:tc>
        <w:tc>
          <w:tcPr>
            <w:tcW w:w="1440" w:type="dxa"/>
            <w:tcBorders>
              <w:left w:val="nil"/>
              <w:bottom w:val="single" w:color="000000" w:sz="4" w:space="0"/>
              <w:right w:val="single" w:color="000000" w:sz="6" w:space="0"/>
            </w:tcBorders>
            <w:shd w:val="clear" w:color="auto" w:fill="E7E6E6" w:themeFill="background2"/>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p>
        </w:tc>
        <w:tc>
          <w:tcPr>
            <w:tcW w:w="8940" w:type="dxa"/>
            <w:gridSpan w:val="2"/>
            <w:tcBorders>
              <w:right w:val="single" w:color="auto" w:sz="4" w:space="0"/>
            </w:tcBorders>
          </w:tcPr>
          <w:p>
            <w:pPr>
              <w:pStyle w:val="8"/>
              <w:spacing w:line="276" w:lineRule="auto"/>
              <w:ind w:left="187" w:right="302"/>
              <w:jc w:val="both"/>
              <w:rPr>
                <w:sz w:val="14"/>
                <w:szCs w:val="16"/>
                <w:lang w:val="en-GB"/>
              </w:rPr>
            </w:pPr>
          </w:p>
          <w:p>
            <w:pPr>
              <w:pStyle w:val="8"/>
              <w:spacing w:line="276" w:lineRule="auto"/>
              <w:ind w:left="187" w:right="302"/>
              <w:jc w:val="both"/>
              <w:rPr>
                <w:sz w:val="20"/>
                <w:lang w:val="en-GB"/>
              </w:rPr>
            </w:pPr>
            <w:r>
              <w:rPr>
                <w:sz w:val="20"/>
                <w:lang w:val="en-GB"/>
              </w:rPr>
              <w:t>A relevant product market comprises all those products and/or services which are regarded as interchangeable or substitutable by the consumer, by reason of the products' characteristics, their prices and their intended use. A relevant product market may in some cases be composed of a number of individual products and/or services which present largely identical physical or technical characteristics and are interchangeable.</w:t>
            </w:r>
          </w:p>
          <w:p>
            <w:pPr>
              <w:pStyle w:val="8"/>
              <w:spacing w:line="276" w:lineRule="auto"/>
              <w:ind w:left="187" w:right="302"/>
              <w:jc w:val="both"/>
              <w:rPr>
                <w:sz w:val="20"/>
                <w:lang w:val="en-GB"/>
              </w:rPr>
            </w:pPr>
          </w:p>
          <w:p>
            <w:pPr>
              <w:pStyle w:val="8"/>
              <w:spacing w:line="276" w:lineRule="auto"/>
              <w:ind w:left="187" w:right="302"/>
              <w:jc w:val="both"/>
              <w:rPr>
                <w:sz w:val="20"/>
                <w:lang w:val="en-GB"/>
              </w:rPr>
            </w:pPr>
            <w:r>
              <w:rPr>
                <w:sz w:val="20"/>
                <w:lang w:val="en-GB"/>
              </w:rPr>
              <w:t>Factors relevant to the assessment of the relevant product market include the analysis of why the products or services in these markets are included and why others are excluded by using the above definition, and having regard to, for example, substitutability, conditions of competition, prices, cross-price elasticity of demand or other factors relevant for the definition of the product markets (for example, supply-side substitutability in appropriate cases).</w:t>
            </w:r>
          </w:p>
          <w:p>
            <w:pPr>
              <w:pStyle w:val="8"/>
              <w:spacing w:line="276" w:lineRule="auto"/>
              <w:ind w:left="187" w:right="302"/>
              <w:jc w:val="both"/>
              <w:rPr>
                <w:sz w:val="16"/>
                <w:szCs w:val="18"/>
                <w:lang w:val="en-GB"/>
              </w:rPr>
            </w:pP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B.</w:t>
            </w:r>
          </w:p>
        </w:tc>
        <w:tc>
          <w:tcPr>
            <w:tcW w:w="8940" w:type="dxa"/>
            <w:gridSpan w:val="2"/>
            <w:tcBorders>
              <w:right w:val="nil"/>
            </w:tcBorders>
            <w:shd w:val="clear" w:color="auto" w:fill="E7E6E6" w:themeFill="background2"/>
          </w:tcPr>
          <w:p>
            <w:pPr>
              <w:pStyle w:val="8"/>
              <w:spacing w:line="276" w:lineRule="auto"/>
              <w:ind w:left="187" w:right="302"/>
              <w:jc w:val="both"/>
              <w:rPr>
                <w:sz w:val="14"/>
                <w:szCs w:val="16"/>
                <w:lang w:val="en-GB"/>
              </w:rPr>
            </w:pPr>
          </w:p>
          <w:p>
            <w:pPr>
              <w:pStyle w:val="8"/>
              <w:spacing w:line="276" w:lineRule="auto"/>
              <w:ind w:left="187" w:right="302"/>
              <w:jc w:val="both"/>
              <w:rPr>
                <w:b/>
                <w:bCs/>
                <w:sz w:val="20"/>
                <w:lang w:val="en-GB"/>
              </w:rPr>
            </w:pPr>
            <w:r>
              <w:rPr>
                <w:b/>
                <w:bCs/>
                <w:sz w:val="20"/>
                <w:lang w:val="en-GB"/>
              </w:rPr>
              <w:t>Relevant geographic markets</w:t>
            </w:r>
          </w:p>
        </w:tc>
        <w:tc>
          <w:tcPr>
            <w:tcW w:w="1440" w:type="dxa"/>
            <w:tcBorders>
              <w:left w:val="nil"/>
              <w:bottom w:val="single" w:color="000000" w:sz="4" w:space="0"/>
              <w:right w:val="single" w:color="000000" w:sz="6" w:space="0"/>
            </w:tcBorders>
            <w:shd w:val="clear" w:color="auto" w:fill="E7E6E6" w:themeFill="background2"/>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p>
        </w:tc>
        <w:tc>
          <w:tcPr>
            <w:tcW w:w="8940" w:type="dxa"/>
            <w:gridSpan w:val="2"/>
            <w:tcBorders>
              <w:right w:val="single" w:color="auto" w:sz="4" w:space="0"/>
            </w:tcBorders>
          </w:tcPr>
          <w:p>
            <w:pPr>
              <w:pStyle w:val="8"/>
              <w:spacing w:line="276" w:lineRule="auto"/>
              <w:ind w:left="187" w:right="302"/>
              <w:jc w:val="both"/>
              <w:rPr>
                <w:sz w:val="14"/>
                <w:szCs w:val="16"/>
                <w:lang w:val="en-GB"/>
              </w:rPr>
            </w:pPr>
          </w:p>
          <w:p>
            <w:pPr>
              <w:pStyle w:val="8"/>
              <w:spacing w:line="276" w:lineRule="auto"/>
              <w:ind w:left="187" w:right="302"/>
              <w:jc w:val="both"/>
              <w:rPr>
                <w:sz w:val="20"/>
                <w:lang w:val="en-GB"/>
              </w:rPr>
            </w:pPr>
            <w:r>
              <w:rPr>
                <w:sz w:val="20"/>
                <w:lang w:val="en-GB"/>
              </w:rPr>
              <w:t xml:space="preserve">The relevant geographic market comprises the area in which the undertakings concerned are involved in the supply and demand of relevant products or services, in which the conditions of competition are sufficiently homogeneous and which can be distinguished from neighbouring geographic areas because, in particular, conditions of competition are appreciably different in those areas. </w:t>
            </w:r>
          </w:p>
          <w:p>
            <w:pPr>
              <w:pStyle w:val="8"/>
              <w:spacing w:line="276" w:lineRule="auto"/>
              <w:ind w:left="187" w:right="302"/>
              <w:jc w:val="both"/>
              <w:rPr>
                <w:sz w:val="20"/>
                <w:lang w:val="en-GB"/>
              </w:rPr>
            </w:pPr>
          </w:p>
          <w:p>
            <w:pPr>
              <w:pStyle w:val="8"/>
              <w:spacing w:line="276" w:lineRule="auto"/>
              <w:ind w:left="187" w:right="302"/>
              <w:jc w:val="both"/>
              <w:rPr>
                <w:sz w:val="20"/>
                <w:lang w:val="en-GB"/>
              </w:rPr>
            </w:pPr>
            <w:r>
              <w:rPr>
                <w:sz w:val="20"/>
                <w:lang w:val="en-GB"/>
              </w:rPr>
              <w:t>Factors relevant to the assessment of the relevant geographic market include inter alia the nature and characteristics of the products or services concerned, the existence of entry barriers, consumer preferences, appreciable differences in the undertakings' market shares between neighbouring geographic areas, or substantial price differences.</w:t>
            </w:r>
          </w:p>
          <w:p>
            <w:pPr>
              <w:pStyle w:val="8"/>
              <w:spacing w:line="276" w:lineRule="auto"/>
              <w:ind w:left="187" w:right="302"/>
              <w:jc w:val="both"/>
              <w:rPr>
                <w:sz w:val="16"/>
                <w:szCs w:val="18"/>
                <w:lang w:val="en-GB"/>
              </w:rPr>
            </w:pP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C.  </w:t>
            </w:r>
          </w:p>
        </w:tc>
        <w:tc>
          <w:tcPr>
            <w:tcW w:w="8940" w:type="dxa"/>
            <w:gridSpan w:val="2"/>
            <w:tcBorders>
              <w:right w:val="nil"/>
            </w:tcBorders>
            <w:shd w:val="clear" w:color="auto" w:fill="E7E6E6" w:themeFill="background2"/>
          </w:tcPr>
          <w:p>
            <w:pPr>
              <w:pStyle w:val="8"/>
              <w:spacing w:line="276" w:lineRule="auto"/>
              <w:ind w:left="187" w:right="302"/>
              <w:jc w:val="both"/>
              <w:rPr>
                <w:sz w:val="12"/>
                <w:szCs w:val="14"/>
                <w:highlight w:val="yellow"/>
                <w:lang w:val="en-GB"/>
              </w:rPr>
            </w:pPr>
          </w:p>
          <w:p>
            <w:pPr>
              <w:pStyle w:val="8"/>
              <w:spacing w:line="276" w:lineRule="auto"/>
              <w:ind w:right="302"/>
              <w:jc w:val="both"/>
              <w:rPr>
                <w:b/>
                <w:bCs/>
                <w:sz w:val="14"/>
                <w:szCs w:val="16"/>
                <w:highlight w:val="yellow"/>
                <w:lang w:val="en-GB"/>
              </w:rPr>
            </w:pPr>
            <w:r>
              <w:rPr>
                <w:sz w:val="20"/>
                <w:highlight w:val="yellow"/>
                <w:lang w:val="en-GB"/>
              </w:rPr>
              <w:t xml:space="preserve">   </w:t>
            </w:r>
            <w:r>
              <w:rPr>
                <w:b/>
                <w:bCs/>
                <w:sz w:val="20"/>
                <w:highlight w:val="yellow"/>
                <w:lang w:val="en-GB"/>
              </w:rPr>
              <w:t>Affected Markets</w:t>
            </w:r>
          </w:p>
        </w:tc>
        <w:tc>
          <w:tcPr>
            <w:tcW w:w="1440" w:type="dxa"/>
            <w:tcBorders>
              <w:left w:val="nil"/>
              <w:bottom w:val="single" w:color="000000" w:sz="4" w:space="0"/>
              <w:right w:val="single" w:color="000000" w:sz="6" w:space="0"/>
            </w:tcBorders>
            <w:shd w:val="clear" w:color="auto" w:fill="E7E6E6" w:themeFill="background2"/>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p>
        </w:tc>
        <w:tc>
          <w:tcPr>
            <w:tcW w:w="8940" w:type="dxa"/>
            <w:gridSpan w:val="2"/>
            <w:tcBorders>
              <w:right w:val="single" w:color="auto" w:sz="4" w:space="0"/>
            </w:tcBorders>
          </w:tcPr>
          <w:p>
            <w:pPr>
              <w:pStyle w:val="8"/>
              <w:spacing w:line="276" w:lineRule="auto"/>
              <w:ind w:left="180" w:right="300"/>
              <w:jc w:val="both"/>
              <w:rPr>
                <w:sz w:val="14"/>
                <w:szCs w:val="16"/>
                <w:highlight w:val="yellow"/>
                <w:lang w:val="en-GB"/>
              </w:rPr>
            </w:pPr>
          </w:p>
          <w:p>
            <w:pPr>
              <w:pStyle w:val="8"/>
              <w:spacing w:line="276" w:lineRule="auto"/>
              <w:ind w:left="180" w:right="300"/>
              <w:jc w:val="both"/>
              <w:rPr>
                <w:sz w:val="20"/>
                <w:highlight w:val="yellow"/>
                <w:lang w:val="en-GB"/>
              </w:rPr>
            </w:pPr>
            <w:r>
              <w:rPr>
                <w:sz w:val="20"/>
                <w:highlight w:val="yellow"/>
                <w:lang w:val="en-GB"/>
              </w:rPr>
              <w:t xml:space="preserve">For the purposes of the information required in this Form, affected markets consist of relevant product markets where, in Nigeria: </w:t>
            </w:r>
          </w:p>
          <w:p>
            <w:pPr>
              <w:pStyle w:val="8"/>
              <w:spacing w:line="276" w:lineRule="auto"/>
              <w:ind w:left="180" w:right="300"/>
              <w:jc w:val="both"/>
              <w:rPr>
                <w:sz w:val="20"/>
                <w:highlight w:val="yellow"/>
                <w:lang w:val="en-GB"/>
              </w:rPr>
            </w:pPr>
          </w:p>
          <w:p>
            <w:pPr>
              <w:pStyle w:val="8"/>
              <w:spacing w:line="276" w:lineRule="auto"/>
              <w:ind w:left="180" w:right="300"/>
              <w:jc w:val="both"/>
              <w:rPr>
                <w:sz w:val="20"/>
                <w:highlight w:val="yellow"/>
                <w:lang w:val="en-GB"/>
              </w:rPr>
            </w:pPr>
            <w:r>
              <w:rPr>
                <w:sz w:val="20"/>
                <w:highlight w:val="yellow"/>
                <w:lang w:val="en-GB"/>
              </w:rPr>
              <w:t xml:space="preserve">(a) two or more of the parties to the merger are engaged in business activities in the same product market and where the merger will lead to a combined market share of 15% or more. These are horizontal relationships; </w:t>
            </w:r>
          </w:p>
          <w:p>
            <w:pPr>
              <w:pStyle w:val="8"/>
              <w:spacing w:line="276" w:lineRule="auto"/>
              <w:ind w:left="180" w:right="300"/>
              <w:jc w:val="both"/>
              <w:rPr>
                <w:sz w:val="20"/>
                <w:highlight w:val="yellow"/>
                <w:lang w:val="en-GB"/>
              </w:rPr>
            </w:pPr>
          </w:p>
          <w:p>
            <w:pPr>
              <w:pStyle w:val="8"/>
              <w:spacing w:line="276" w:lineRule="auto"/>
              <w:ind w:left="180" w:right="300"/>
              <w:jc w:val="both"/>
              <w:rPr>
                <w:sz w:val="20"/>
                <w:highlight w:val="yellow"/>
                <w:lang w:val="en-GB"/>
              </w:rPr>
            </w:pPr>
            <w:r>
              <w:rPr>
                <w:sz w:val="20"/>
                <w:highlight w:val="yellow"/>
                <w:lang w:val="en-GB"/>
              </w:rPr>
              <w:t xml:space="preserve">(b) one or more of the parties to the merger are engaged in business activities in a product market, which is upstream or downstream of a product market in which any other party to the merger is engaged, and any of their individual or combined market shares at either level is 25% or more, regardless of whether there is or is not any existing supplier/customer relationship between the parties to the merger. These are vertical relationships. </w:t>
            </w:r>
          </w:p>
          <w:p>
            <w:pPr>
              <w:pStyle w:val="8"/>
              <w:spacing w:line="276" w:lineRule="auto"/>
              <w:ind w:left="180" w:right="300"/>
              <w:jc w:val="both"/>
              <w:rPr>
                <w:sz w:val="20"/>
                <w:highlight w:val="yellow"/>
                <w:lang w:val="en-GB"/>
              </w:rPr>
            </w:pPr>
          </w:p>
          <w:p>
            <w:pPr>
              <w:pStyle w:val="8"/>
              <w:spacing w:line="276" w:lineRule="auto"/>
              <w:ind w:left="180" w:right="300"/>
              <w:jc w:val="both"/>
              <w:rPr>
                <w:sz w:val="20"/>
                <w:highlight w:val="yellow"/>
                <w:lang w:val="en-GB"/>
              </w:rPr>
            </w:pP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4.2</w:t>
            </w:r>
          </w:p>
        </w:tc>
        <w:tc>
          <w:tcPr>
            <w:tcW w:w="8940" w:type="dxa"/>
            <w:gridSpan w:val="2"/>
            <w:tcBorders>
              <w:right w:val="single" w:color="auto" w:sz="4" w:space="0"/>
            </w:tcBorders>
          </w:tcPr>
          <w:p>
            <w:pPr>
              <w:pStyle w:val="8"/>
              <w:spacing w:line="276" w:lineRule="auto"/>
              <w:ind w:left="180" w:right="300"/>
              <w:jc w:val="both"/>
              <w:rPr>
                <w:sz w:val="14"/>
                <w:szCs w:val="16"/>
                <w:lang w:val="en-GB"/>
              </w:rPr>
            </w:pPr>
          </w:p>
          <w:p>
            <w:pPr>
              <w:pStyle w:val="8"/>
              <w:spacing w:line="276" w:lineRule="auto"/>
              <w:ind w:left="180" w:right="300"/>
              <w:jc w:val="both"/>
              <w:rPr>
                <w:sz w:val="20"/>
                <w:lang w:val="en-GB"/>
              </w:rPr>
            </w:pPr>
            <w:r>
              <w:rPr>
                <w:sz w:val="20"/>
                <w:lang w:val="en-GB"/>
              </w:rPr>
              <w:t>On the basis of the above definitions and market share thresholds, provide the following information:</w:t>
            </w:r>
          </w:p>
          <w:p>
            <w:pPr>
              <w:pStyle w:val="8"/>
              <w:spacing w:line="276" w:lineRule="auto"/>
              <w:ind w:left="180" w:right="300"/>
              <w:jc w:val="both"/>
              <w:rPr>
                <w:sz w:val="20"/>
                <w:lang w:val="en-GB"/>
              </w:rPr>
            </w:pPr>
          </w:p>
          <w:p>
            <w:pPr>
              <w:pStyle w:val="8"/>
              <w:spacing w:line="276" w:lineRule="auto"/>
              <w:ind w:left="180" w:right="300"/>
              <w:jc w:val="both"/>
              <w:rPr>
                <w:sz w:val="20"/>
                <w:lang w:val="en-GB"/>
              </w:rPr>
            </w:pPr>
            <w:r>
              <w:rPr>
                <w:sz w:val="20"/>
                <w:lang w:val="en-GB"/>
              </w:rPr>
              <w:t>Identify each affected market within the meaning of 4C above at the Nigerian level</w:t>
            </w: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4.3</w:t>
            </w:r>
          </w:p>
        </w:tc>
        <w:tc>
          <w:tcPr>
            <w:tcW w:w="8940" w:type="dxa"/>
            <w:gridSpan w:val="2"/>
            <w:tcBorders>
              <w:right w:val="single" w:color="auto" w:sz="4" w:space="0"/>
            </w:tcBorders>
          </w:tcPr>
          <w:p>
            <w:pPr>
              <w:pStyle w:val="8"/>
              <w:spacing w:line="276" w:lineRule="auto"/>
              <w:ind w:left="180" w:right="300"/>
              <w:jc w:val="both"/>
              <w:rPr>
                <w:sz w:val="12"/>
                <w:szCs w:val="14"/>
                <w:lang w:val="en-GB"/>
              </w:rPr>
            </w:pPr>
          </w:p>
          <w:p>
            <w:pPr>
              <w:pStyle w:val="8"/>
              <w:spacing w:line="276" w:lineRule="auto"/>
              <w:ind w:left="180" w:right="300"/>
              <w:jc w:val="both"/>
              <w:rPr>
                <w:sz w:val="20"/>
                <w:lang w:val="en-GB"/>
              </w:rPr>
            </w:pPr>
            <w:r>
              <w:rPr>
                <w:sz w:val="20"/>
                <w:lang w:val="en-GB"/>
              </w:rPr>
              <w:t>In addition, explain the notifying parties view as to the scope of the relevant geographic market within the meaning of 4B in relation to each affected market identified at 4.1 above.</w:t>
            </w:r>
          </w:p>
          <w:p>
            <w:pPr>
              <w:pStyle w:val="8"/>
              <w:spacing w:line="276" w:lineRule="auto"/>
              <w:ind w:left="180" w:right="300"/>
              <w:jc w:val="both"/>
              <w:rPr>
                <w:sz w:val="20"/>
                <w:lang w:val="en-GB"/>
              </w:rPr>
            </w:pP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shd w:val="clear" w:color="auto" w:fill="000000" w:themeFill="text1"/>
          </w:tcPr>
          <w:p>
            <w:pPr>
              <w:pStyle w:val="8"/>
              <w:numPr>
                <w:ilvl w:val="0"/>
                <w:numId w:val="4"/>
              </w:numPr>
              <w:spacing w:before="101"/>
              <w:rPr>
                <w:sz w:val="20"/>
              </w:rPr>
            </w:pPr>
          </w:p>
        </w:tc>
        <w:tc>
          <w:tcPr>
            <w:tcW w:w="8940" w:type="dxa"/>
            <w:gridSpan w:val="2"/>
            <w:tcBorders>
              <w:right w:val="nil"/>
            </w:tcBorders>
            <w:shd w:val="clear" w:color="auto" w:fill="000000" w:themeFill="text1"/>
          </w:tcPr>
          <w:p>
            <w:pPr>
              <w:pStyle w:val="8"/>
              <w:rPr>
                <w:b/>
                <w:bCs/>
                <w:sz w:val="12"/>
                <w:szCs w:val="14"/>
                <w:lang w:val="en-GB"/>
              </w:rPr>
            </w:pPr>
          </w:p>
          <w:p>
            <w:pPr>
              <w:pStyle w:val="8"/>
              <w:rPr>
                <w:rFonts w:ascii="Times New Roman"/>
                <w:sz w:val="18"/>
              </w:rPr>
            </w:pPr>
            <w:r>
              <w:rPr>
                <w:b/>
                <w:bCs/>
                <w:sz w:val="20"/>
                <w:highlight w:val="yellow"/>
                <w:lang w:val="en-GB"/>
              </w:rPr>
              <w:t>INFORMATION ON AFFECTED MARKETS</w:t>
            </w:r>
          </w:p>
        </w:tc>
        <w:tc>
          <w:tcPr>
            <w:tcW w:w="1440" w:type="dxa"/>
            <w:tcBorders>
              <w:left w:val="nil"/>
              <w:right w:val="single" w:color="000000" w:sz="6" w:space="0"/>
            </w:tcBorders>
            <w:shd w:val="clear" w:color="auto" w:fill="000000" w:themeFill="text1"/>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5.1 </w:t>
            </w:r>
          </w:p>
        </w:tc>
        <w:tc>
          <w:tcPr>
            <w:tcW w:w="8940" w:type="dxa"/>
            <w:gridSpan w:val="2"/>
            <w:tcBorders>
              <w:right w:val="single" w:color="auto" w:sz="4" w:space="0"/>
            </w:tcBorders>
          </w:tcPr>
          <w:p>
            <w:pPr>
              <w:pStyle w:val="8"/>
              <w:spacing w:line="360" w:lineRule="auto"/>
              <w:ind w:right="302"/>
              <w:jc w:val="both"/>
              <w:rPr>
                <w:sz w:val="10"/>
                <w:szCs w:val="10"/>
                <w:lang w:val="en-GB"/>
              </w:rPr>
            </w:pPr>
          </w:p>
          <w:p>
            <w:pPr>
              <w:pStyle w:val="8"/>
              <w:spacing w:line="312" w:lineRule="auto"/>
              <w:ind w:left="187" w:right="302"/>
              <w:jc w:val="both"/>
              <w:rPr>
                <w:sz w:val="20"/>
                <w:szCs w:val="20"/>
                <w:lang w:val="en-GB"/>
              </w:rPr>
            </w:pPr>
            <w:r>
              <w:rPr>
                <w:sz w:val="20"/>
                <w:szCs w:val="20"/>
                <w:lang w:val="en-GB"/>
              </w:rPr>
              <w:t>For each affected relevant product market, for the last financial year where in the opinion of the notifying parties, the relevant geographic market is different; provide the following information:</w:t>
            </w:r>
          </w:p>
          <w:p>
            <w:pPr>
              <w:pStyle w:val="8"/>
              <w:numPr>
                <w:ilvl w:val="0"/>
                <w:numId w:val="7"/>
              </w:numPr>
              <w:spacing w:before="120" w:after="120" w:line="312" w:lineRule="auto"/>
              <w:ind w:left="547" w:right="302"/>
              <w:jc w:val="both"/>
              <w:rPr>
                <w:sz w:val="20"/>
                <w:szCs w:val="20"/>
              </w:rPr>
            </w:pPr>
            <w:r>
              <w:rPr>
                <w:sz w:val="20"/>
                <w:szCs w:val="20"/>
                <w:lang w:val="en-GB"/>
              </w:rPr>
              <w:t xml:space="preserve">an estimate of the total size of the market in terms of sales value (in Naira) and volume (units). </w:t>
            </w:r>
          </w:p>
          <w:p>
            <w:pPr>
              <w:pStyle w:val="8"/>
              <w:numPr>
                <w:ilvl w:val="0"/>
                <w:numId w:val="7"/>
              </w:numPr>
              <w:spacing w:before="120" w:after="120" w:line="312" w:lineRule="auto"/>
              <w:ind w:left="547" w:right="302"/>
              <w:jc w:val="both"/>
              <w:rPr>
                <w:sz w:val="20"/>
                <w:szCs w:val="20"/>
              </w:rPr>
            </w:pPr>
            <w:r>
              <w:rPr>
                <w:sz w:val="20"/>
                <w:szCs w:val="20"/>
                <w:lang w:val="en-GB"/>
              </w:rPr>
              <w:t xml:space="preserve">Indicate the basis and sources for the calculations and provide documents where available to confirm these calculations;  </w:t>
            </w:r>
          </w:p>
          <w:p>
            <w:pPr>
              <w:pStyle w:val="8"/>
              <w:numPr>
                <w:ilvl w:val="0"/>
                <w:numId w:val="7"/>
              </w:numPr>
              <w:spacing w:before="120" w:after="120" w:line="312" w:lineRule="auto"/>
              <w:ind w:left="547" w:right="302"/>
              <w:jc w:val="both"/>
              <w:rPr>
                <w:sz w:val="20"/>
                <w:szCs w:val="20"/>
              </w:rPr>
            </w:pPr>
            <w:r>
              <w:rPr>
                <w:sz w:val="20"/>
                <w:szCs w:val="20"/>
                <w:lang w:val="en-GB"/>
              </w:rPr>
              <w:t xml:space="preserve">the sales in value and volume, as well as an estimate of the market shares, of each of the parties to the merger; </w:t>
            </w:r>
          </w:p>
          <w:p>
            <w:pPr>
              <w:pStyle w:val="8"/>
              <w:numPr>
                <w:ilvl w:val="0"/>
                <w:numId w:val="7"/>
              </w:numPr>
              <w:spacing w:before="120" w:after="120" w:line="312" w:lineRule="auto"/>
              <w:ind w:left="547" w:right="302"/>
              <w:jc w:val="both"/>
              <w:rPr>
                <w:sz w:val="20"/>
                <w:szCs w:val="20"/>
              </w:rPr>
            </w:pPr>
            <w:r>
              <w:rPr>
                <w:sz w:val="20"/>
                <w:szCs w:val="20"/>
                <w:lang w:val="en-GB"/>
              </w:rPr>
              <w:t xml:space="preserve">an estimate of the market share in value (and where appropriate volume) of all competitors (including importers) having at least 5 % of the geographic market under consideration; </w:t>
            </w:r>
          </w:p>
          <w:p>
            <w:pPr>
              <w:pStyle w:val="8"/>
              <w:numPr>
                <w:ilvl w:val="0"/>
                <w:numId w:val="7"/>
              </w:numPr>
              <w:spacing w:before="120" w:after="120" w:line="312" w:lineRule="auto"/>
              <w:ind w:left="547" w:right="302"/>
              <w:jc w:val="both"/>
              <w:rPr>
                <w:sz w:val="20"/>
                <w:szCs w:val="20"/>
              </w:rPr>
            </w:pPr>
            <w:r>
              <w:rPr>
                <w:sz w:val="20"/>
                <w:szCs w:val="20"/>
                <w:lang w:val="en-GB"/>
              </w:rPr>
              <w:t xml:space="preserve">On this basis, provide an estimate of the HHI index pre- and post-merger, and the difference between the two (the delta). Indicate the proportion of market shares used as a basis to calculate the HHI; </w:t>
            </w:r>
          </w:p>
          <w:p>
            <w:pPr>
              <w:pStyle w:val="8"/>
              <w:numPr>
                <w:ilvl w:val="0"/>
                <w:numId w:val="7"/>
              </w:numPr>
              <w:spacing w:before="120" w:after="120" w:line="312" w:lineRule="auto"/>
              <w:ind w:left="547" w:right="302"/>
              <w:jc w:val="both"/>
              <w:rPr>
                <w:sz w:val="20"/>
                <w:szCs w:val="20"/>
              </w:rPr>
            </w:pPr>
            <w:r>
              <w:rPr>
                <w:sz w:val="20"/>
                <w:szCs w:val="20"/>
                <w:lang w:val="en-GB"/>
              </w:rPr>
              <w:t>Identify the sources used to calculate these market shares and provide documents where available to confirm the calculation;</w:t>
            </w:r>
          </w:p>
          <w:p>
            <w:pPr>
              <w:pStyle w:val="8"/>
              <w:numPr>
                <w:ilvl w:val="0"/>
                <w:numId w:val="7"/>
              </w:numPr>
              <w:spacing w:before="120" w:after="120" w:line="312" w:lineRule="auto"/>
              <w:ind w:left="547" w:right="302"/>
              <w:jc w:val="both"/>
              <w:rPr>
                <w:sz w:val="20"/>
                <w:szCs w:val="20"/>
              </w:rPr>
            </w:pPr>
            <w:r>
              <w:rPr>
                <w:sz w:val="20"/>
                <w:szCs w:val="20"/>
                <w:lang w:val="en-GB"/>
              </w:rPr>
              <w:t xml:space="preserve">the five largest independent customers of the parties in each affected market and their individual share of total sales for such products accounted for by each of those customers; </w:t>
            </w:r>
          </w:p>
          <w:p>
            <w:pPr>
              <w:pStyle w:val="8"/>
              <w:numPr>
                <w:ilvl w:val="0"/>
                <w:numId w:val="7"/>
              </w:numPr>
              <w:spacing w:before="120" w:after="120" w:line="312" w:lineRule="auto"/>
              <w:ind w:left="547" w:right="302"/>
              <w:jc w:val="both"/>
              <w:rPr>
                <w:sz w:val="20"/>
                <w:szCs w:val="20"/>
              </w:rPr>
            </w:pPr>
            <w:r>
              <w:rPr>
                <w:sz w:val="20"/>
                <w:szCs w:val="20"/>
                <w:lang w:val="en-GB"/>
              </w:rPr>
              <w:t xml:space="preserve">the nature and extent of vertical integration of each of the parties to the merger compared with their largest competitors; </w:t>
            </w:r>
          </w:p>
          <w:p>
            <w:pPr>
              <w:pStyle w:val="8"/>
              <w:numPr>
                <w:ilvl w:val="0"/>
                <w:numId w:val="7"/>
              </w:numPr>
              <w:spacing w:before="120" w:after="120" w:line="312" w:lineRule="auto"/>
              <w:ind w:left="547" w:right="302"/>
              <w:jc w:val="both"/>
              <w:rPr>
                <w:sz w:val="20"/>
                <w:szCs w:val="20"/>
              </w:rPr>
            </w:pPr>
            <w:r>
              <w:rPr>
                <w:sz w:val="20"/>
                <w:szCs w:val="20"/>
                <w:lang w:val="en-GB"/>
              </w:rPr>
              <w:t xml:space="preserve">identify the five largest independent suppliers to the parties; </w:t>
            </w:r>
          </w:p>
        </w:tc>
        <w:tc>
          <w:tcPr>
            <w:tcW w:w="1440" w:type="dxa"/>
            <w:tcBorders>
              <w:left w:val="single" w:color="auto"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5.2</w:t>
            </w:r>
          </w:p>
        </w:tc>
        <w:tc>
          <w:tcPr>
            <w:tcW w:w="8940" w:type="dxa"/>
            <w:gridSpan w:val="2"/>
            <w:tcBorders>
              <w:right w:val="single" w:color="auto" w:sz="4" w:space="0"/>
            </w:tcBorders>
          </w:tcPr>
          <w:p>
            <w:pPr>
              <w:pStyle w:val="8"/>
              <w:spacing w:before="120" w:after="120" w:line="312" w:lineRule="auto"/>
              <w:ind w:left="180" w:right="302"/>
              <w:jc w:val="both"/>
              <w:rPr>
                <w:sz w:val="20"/>
                <w:szCs w:val="20"/>
              </w:rPr>
            </w:pPr>
            <w:r>
              <w:rPr>
                <w:sz w:val="20"/>
                <w:szCs w:val="20"/>
                <w:lang w:val="en-GB"/>
              </w:rPr>
              <w:t xml:space="preserve">Over the last five years, has there been any significant entry into any affected markets? In the opinion of the notifying parties are there undertakings (including those at present operating only in foreign markets) that are likely to enter the market? Please specify. </w:t>
            </w:r>
          </w:p>
        </w:tc>
        <w:tc>
          <w:tcPr>
            <w:tcW w:w="1440" w:type="dxa"/>
            <w:tcBorders>
              <w:left w:val="single" w:color="auto"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5.3</w:t>
            </w:r>
          </w:p>
        </w:tc>
        <w:tc>
          <w:tcPr>
            <w:tcW w:w="8940" w:type="dxa"/>
            <w:gridSpan w:val="2"/>
            <w:tcBorders>
              <w:right w:val="single" w:color="auto" w:sz="4" w:space="0"/>
            </w:tcBorders>
          </w:tcPr>
          <w:p>
            <w:pPr>
              <w:pStyle w:val="8"/>
              <w:ind w:left="180"/>
              <w:rPr>
                <w:sz w:val="14"/>
                <w:szCs w:val="14"/>
              </w:rPr>
            </w:pPr>
          </w:p>
          <w:p>
            <w:pPr>
              <w:pStyle w:val="8"/>
              <w:spacing w:line="312" w:lineRule="auto"/>
              <w:ind w:left="187"/>
              <w:jc w:val="both"/>
              <w:rPr>
                <w:sz w:val="20"/>
                <w:szCs w:val="20"/>
              </w:rPr>
            </w:pPr>
            <w:r>
              <w:rPr>
                <w:sz w:val="20"/>
                <w:szCs w:val="20"/>
              </w:rPr>
              <w:t>To what extent do cooperative agreements (horizontal or vertical) exist in the affected markets?</w:t>
            </w:r>
          </w:p>
          <w:p>
            <w:pPr>
              <w:pStyle w:val="8"/>
              <w:spacing w:line="312" w:lineRule="auto"/>
              <w:jc w:val="both"/>
              <w:rPr>
                <w:sz w:val="20"/>
                <w:szCs w:val="20"/>
                <w:lang w:val="en-GB"/>
              </w:rPr>
            </w:pPr>
          </w:p>
        </w:tc>
        <w:tc>
          <w:tcPr>
            <w:tcW w:w="1440" w:type="dxa"/>
            <w:tcBorders>
              <w:left w:val="single" w:color="auto"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5.4</w:t>
            </w:r>
          </w:p>
        </w:tc>
        <w:tc>
          <w:tcPr>
            <w:tcW w:w="8940" w:type="dxa"/>
            <w:gridSpan w:val="2"/>
            <w:tcBorders>
              <w:right w:val="single" w:color="auto" w:sz="4" w:space="0"/>
            </w:tcBorders>
          </w:tcPr>
          <w:p>
            <w:pPr>
              <w:pStyle w:val="8"/>
              <w:spacing w:line="312" w:lineRule="auto"/>
              <w:ind w:left="187" w:right="302"/>
              <w:jc w:val="both"/>
              <w:rPr>
                <w:sz w:val="8"/>
                <w:szCs w:val="8"/>
              </w:rPr>
            </w:pPr>
          </w:p>
          <w:p>
            <w:pPr>
              <w:pStyle w:val="8"/>
              <w:spacing w:line="312" w:lineRule="auto"/>
              <w:ind w:left="187" w:right="302"/>
              <w:jc w:val="both"/>
              <w:rPr>
                <w:sz w:val="20"/>
                <w:szCs w:val="20"/>
              </w:rPr>
            </w:pPr>
            <w:r>
              <w:rPr>
                <w:sz w:val="20"/>
                <w:szCs w:val="20"/>
              </w:rPr>
              <w:t>If the merger is a joint venture, do two or more parents retain to a significant extent activities in the same market as the joint venture or in a market which is downstream or upstream from that of the joint venture or in a neighbouring market closely related to this market?</w:t>
            </w:r>
          </w:p>
          <w:p>
            <w:pPr>
              <w:pStyle w:val="8"/>
              <w:spacing w:line="312" w:lineRule="auto"/>
              <w:ind w:left="187" w:right="302"/>
              <w:jc w:val="both"/>
              <w:rPr>
                <w:sz w:val="14"/>
                <w:szCs w:val="14"/>
              </w:rPr>
            </w:pPr>
          </w:p>
        </w:tc>
        <w:tc>
          <w:tcPr>
            <w:tcW w:w="1440" w:type="dxa"/>
            <w:tcBorders>
              <w:left w:val="single" w:color="auto" w:sz="4" w:space="0"/>
              <w:right w:val="single" w:color="000000" w:sz="6" w:space="0"/>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720" w:type="dxa"/>
          </w:tcPr>
          <w:p>
            <w:pPr>
              <w:pStyle w:val="8"/>
              <w:spacing w:before="101"/>
              <w:rPr>
                <w:sz w:val="20"/>
              </w:rPr>
            </w:pPr>
            <w:r>
              <w:rPr>
                <w:sz w:val="20"/>
              </w:rPr>
              <w:t xml:space="preserve">    5.5</w:t>
            </w:r>
          </w:p>
        </w:tc>
        <w:tc>
          <w:tcPr>
            <w:tcW w:w="8940" w:type="dxa"/>
            <w:gridSpan w:val="2"/>
            <w:tcBorders>
              <w:right w:val="single" w:color="auto" w:sz="4" w:space="0"/>
            </w:tcBorders>
          </w:tcPr>
          <w:p>
            <w:pPr>
              <w:pStyle w:val="8"/>
              <w:rPr>
                <w:sz w:val="20"/>
                <w:szCs w:val="20"/>
              </w:rPr>
            </w:pPr>
          </w:p>
          <w:p>
            <w:pPr>
              <w:pStyle w:val="8"/>
              <w:spacing w:line="312" w:lineRule="auto"/>
              <w:ind w:left="187" w:right="302"/>
              <w:jc w:val="both"/>
              <w:rPr>
                <w:sz w:val="20"/>
                <w:szCs w:val="20"/>
              </w:rPr>
            </w:pPr>
            <w:r>
              <w:rPr>
                <w:sz w:val="20"/>
                <w:szCs w:val="20"/>
              </w:rPr>
              <w:t>Describe the likely impact of the proposed merger on competition in the affected markets and how the proposed merger is likely to affect the interests of intermediate and ultimate consumers and the development of technical and economic progress.</w:t>
            </w:r>
          </w:p>
          <w:p>
            <w:pPr>
              <w:pStyle w:val="8"/>
              <w:spacing w:line="312" w:lineRule="auto"/>
              <w:ind w:left="187" w:right="302"/>
              <w:jc w:val="both"/>
              <w:rPr>
                <w:sz w:val="20"/>
                <w:szCs w:val="20"/>
              </w:rPr>
            </w:pPr>
          </w:p>
        </w:tc>
        <w:tc>
          <w:tcPr>
            <w:tcW w:w="1440" w:type="dxa"/>
            <w:tcBorders>
              <w:left w:val="single" w:color="auto" w:sz="4" w:space="0"/>
              <w:bottom w:val="single" w:color="000000" w:sz="4" w:space="0"/>
              <w:right w:val="single" w:color="000000" w:sz="6" w:space="0"/>
            </w:tcBorders>
          </w:tcPr>
          <w:p>
            <w:pPr>
              <w:pStyle w:val="8"/>
              <w:rPr>
                <w:rFonts w:ascii="Times New Roman"/>
                <w:sz w:val="18"/>
              </w:rPr>
            </w:pPr>
          </w:p>
        </w:tc>
      </w:tr>
    </w:tbl>
    <w:p/>
    <w:tbl>
      <w:tblPr>
        <w:tblStyle w:val="7"/>
        <w:tblpPr w:leftFromText="180" w:rightFromText="180" w:vertAnchor="text" w:horzAnchor="margin" w:tblpXSpec="center" w:tblpY="933"/>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8"/>
        <w:gridCol w:w="10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000000" w:themeFill="text1"/>
          </w:tcPr>
          <w:p>
            <w:pPr>
              <w:pStyle w:val="2"/>
              <w:numPr>
                <w:ilvl w:val="0"/>
                <w:numId w:val="4"/>
              </w:numPr>
              <w:rPr>
                <w:b/>
                <w:bCs/>
                <w:lang w:val="en-GB"/>
              </w:rPr>
            </w:pPr>
          </w:p>
        </w:tc>
        <w:tc>
          <w:tcPr>
            <w:tcW w:w="10350" w:type="dxa"/>
            <w:shd w:val="clear" w:color="auto" w:fill="000000" w:themeFill="text1"/>
          </w:tcPr>
          <w:p>
            <w:pPr>
              <w:pStyle w:val="2"/>
              <w:rPr>
                <w:b/>
                <w:bCs/>
                <w:lang w:val="en-GB"/>
              </w:rPr>
            </w:pPr>
            <w:r>
              <w:rPr>
                <w:b/>
                <w:bCs/>
                <w:lang w:val="en-GB"/>
              </w:rPr>
              <w:t>DECLARATION</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keepNext/>
              <w:widowControl/>
              <w:autoSpaceDE/>
              <w:autoSpaceDN/>
              <w:spacing w:before="360" w:after="240" w:line="288" w:lineRule="auto"/>
              <w:jc w:val="both"/>
              <w:outlineLvl w:val="1"/>
              <w:rPr>
                <w:rFonts w:ascii="Palatino Linotype" w:hAnsi="Palatino Linotype" w:eastAsia="SimSun" w:cs="Times New Roman"/>
                <w:b/>
                <w:bCs/>
                <w:i/>
                <w:iCs/>
                <w:sz w:val="24"/>
                <w:szCs w:val="24"/>
                <w:lang w:val="en-GB" w:eastAsia="en-GB"/>
              </w:rPr>
            </w:pPr>
          </w:p>
        </w:tc>
        <w:tc>
          <w:tcPr>
            <w:tcW w:w="10350" w:type="dxa"/>
          </w:tcPr>
          <w:p>
            <w:pPr>
              <w:widowControl/>
              <w:autoSpaceDE w:val="0"/>
              <w:autoSpaceDN w:val="0"/>
              <w:adjustRightInd w:val="0"/>
              <w:spacing w:after="240" w:line="288" w:lineRule="auto"/>
              <w:jc w:val="both"/>
              <w:rPr>
                <w:rFonts w:eastAsia="Times New Roman"/>
                <w:color w:val="000000"/>
                <w:sz w:val="20"/>
                <w:szCs w:val="20"/>
                <w:lang w:val="en-GB" w:eastAsia="en-GB"/>
              </w:rPr>
            </w:pPr>
          </w:p>
          <w:p>
            <w:pPr>
              <w:widowControl/>
              <w:autoSpaceDE w:val="0"/>
              <w:autoSpaceDN w:val="0"/>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This Declaration must be signed by a duly authorised person</w:t>
            </w:r>
            <w:r>
              <w:rPr>
                <w:rFonts w:eastAsia="Times New Roman"/>
                <w:sz w:val="20"/>
                <w:szCs w:val="20"/>
                <w:lang w:val="en-GB" w:eastAsia="en-GB"/>
              </w:rPr>
              <w:t xml:space="preserve"> or on behalf of each of the notifying parties:</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declare that, to the best of my knowledge and belief, the information given in response to the questions in this Notice is true, correct, and complete in all material respects.</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understand that:</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Commission;</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 xml:space="preserve">The Commission may reject any Notice if it is discovered that it contains information which is false or misleading in any material respect; </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conducts both Phase 1 and Phase 2 investigations. In the event that the merger is referred for a Phase 2 investigation, information provided to the Commission during the course of the Phase 1 investigation will also be used for the Phase 2 investigation; and</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The Commission will bring the merger described in this Notice, and the fact that the Notice has been given, as prescribed by the Act.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Name: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widowControl/>
              <w:autoSpaceDE w:val="0"/>
              <w:autoSpaceDN w:val="0"/>
              <w:adjustRightInd w:val="0"/>
              <w:spacing w:after="240" w:line="288" w:lineRule="auto"/>
              <w:jc w:val="both"/>
              <w:rPr>
                <w:rFonts w:eastAsia="Times New Roman"/>
                <w:color w:val="000000"/>
                <w:sz w:val="20"/>
                <w:szCs w:val="20"/>
                <w:lang w:val="en-GB" w:eastAsia="en-GB"/>
              </w:rPr>
            </w:pPr>
          </w:p>
          <w:p>
            <w:pPr>
              <w:widowControl/>
              <w:autoSpaceDE w:val="0"/>
              <w:autoSpaceDN w:val="0"/>
              <w:adjustRightInd w:val="0"/>
              <w:spacing w:after="240" w:line="288" w:lineRule="auto"/>
              <w:jc w:val="both"/>
              <w:rPr>
                <w:rFonts w:eastAsia="Times New Roman"/>
                <w:color w:val="000000"/>
                <w:sz w:val="20"/>
                <w:szCs w:val="20"/>
                <w:lang w:val="en-GB" w:eastAsia="en-GB"/>
              </w:rPr>
            </w:pPr>
            <w:r>
              <w:rPr>
                <w:rFonts w:eastAsia="Times New Roman"/>
                <w:color w:val="000000"/>
                <w:sz w:val="20"/>
                <w:szCs w:val="20"/>
                <w:lang w:val="en-GB" w:eastAsia="en-GB"/>
              </w:rPr>
              <w:t>In addition to the above Declaration, the Declaration below should also be signed by a duly authorised person or on behalf of each of the notifying parties if the undertakings are appointing legal representatives:  </w:t>
            </w:r>
          </w:p>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I confirm that the representative(s) (if any) named in reply to question 1.3 is/are authorised for the purposes of proceedings related to the arrangements described under question 2 to act on behalf of the merger parties respectively specified in response to question 1.3 of this Form/Guidance Note. I hereby specify the address of the representatives named in reply to question 1.3 as an address at which [name of notifying party] will accept service or take receipt of documents.</w:t>
            </w:r>
          </w:p>
          <w:p>
            <w:pPr>
              <w:widowControl/>
              <w:autoSpaceDE w:val="0"/>
              <w:autoSpaceDN w:val="0"/>
              <w:adjustRightInd w:val="0"/>
              <w:spacing w:after="240" w:line="288" w:lineRule="auto"/>
              <w:jc w:val="both"/>
              <w:rPr>
                <w:rFonts w:eastAsia="Times New Roman"/>
                <w:i/>
                <w:color w:val="000000"/>
                <w:sz w:val="20"/>
                <w:szCs w:val="20"/>
                <w:lang w:val="en-GB" w:eastAsia="en-GB"/>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Name: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Position: (block letters)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19" w:type="dxa"/>
                  <w:shd w:val="clear" w:color="auto" w:fill="D9E2F3" w:themeFill="accent1" w:themeFillTint="33"/>
                </w:tcPr>
                <w:p>
                  <w:pPr>
                    <w:widowControl/>
                    <w:autoSpaceDE w:val="0"/>
                    <w:autoSpaceDN w:val="0"/>
                    <w:adjustRightInd w:val="0"/>
                    <w:spacing w:after="240" w:line="288" w:lineRule="auto"/>
                    <w:jc w:val="both"/>
                    <w:rPr>
                      <w:rFonts w:eastAsia="Times New Roman"/>
                      <w:i/>
                      <w:color w:val="000000"/>
                      <w:sz w:val="20"/>
                      <w:szCs w:val="20"/>
                      <w:lang w:val="en-GB" w:eastAsia="en-GB"/>
                    </w:rPr>
                  </w:pPr>
                  <w:r>
                    <w:rPr>
                      <w:rFonts w:eastAsia="Times New Roman"/>
                      <w:i/>
                      <w:color w:val="000000"/>
                      <w:sz w:val="20"/>
                      <w:szCs w:val="20"/>
                      <w:lang w:val="en-GB" w:eastAsia="en-GB"/>
                    </w:rPr>
                    <w:t>Date:</w:t>
                  </w:r>
                </w:p>
              </w:tc>
            </w:tr>
          </w:tbl>
          <w:p>
            <w:pPr>
              <w:pStyle w:val="2"/>
            </w:pPr>
          </w:p>
        </w:tc>
      </w:tr>
    </w:tbl>
    <w:p/>
    <w:sectPr>
      <w:headerReference r:id="rId3" w:type="default"/>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990"/>
      <w:rPr>
        <w:rFonts w:hint="default" w:ascii="Arial" w:hAnsi="Arial" w:cs="Arial"/>
        <w:b/>
        <w:bCs/>
        <w:color w:val="385723" w:themeColor="accent6" w:themeShade="80"/>
        <w:sz w:val="24"/>
        <w:szCs w:val="24"/>
        <w:lang w:val="en-US"/>
      </w:rPr>
    </w:pPr>
    <w:r>
      <w:rPr>
        <w:rFonts w:hint="default" w:ascii="Arial" w:hAnsi="Arial" w:cs="Arial"/>
        <w:b/>
        <w:bCs/>
        <w:color w:val="385723" w:themeColor="accent6" w:themeShade="80"/>
        <w:sz w:val="24"/>
        <w:szCs w:val="24"/>
        <w:lang w:val="en-US"/>
      </w:rPr>
      <w:tab/>
    </w:r>
    <w:r>
      <w:rPr>
        <w:rFonts w:hint="default" w:ascii="Arial" w:hAnsi="Arial" w:cs="Arial"/>
        <w:b/>
        <w:bCs/>
        <w:color w:val="385723" w:themeColor="accent6" w:themeShade="80"/>
        <w:sz w:val="24"/>
        <w:szCs w:val="24"/>
        <w:lang w:val="en-US"/>
      </w:rPr>
      <w:drawing>
        <wp:inline distT="0" distB="0" distL="114300" distR="114300">
          <wp:extent cx="953770" cy="664845"/>
          <wp:effectExtent l="0" t="0" r="17780" b="190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
                  <a:stretch>
                    <a:fillRect/>
                  </a:stretch>
                </pic:blipFill>
                <pic:spPr>
                  <a:xfrm>
                    <a:off x="0" y="0"/>
                    <a:ext cx="953770" cy="664845"/>
                  </a:xfrm>
                  <a:prstGeom prst="rect">
                    <a:avLst/>
                  </a:prstGeom>
                </pic:spPr>
              </pic:pic>
            </a:graphicData>
          </a:graphic>
        </wp:inline>
      </w:drawing>
    </w:r>
  </w:p>
  <w:p>
    <w:pPr>
      <w:pStyle w:val="4"/>
      <w:ind w:left="-990"/>
      <w:rPr>
        <w:rFonts w:hint="default" w:ascii="Arial" w:hAnsi="Arial" w:cs="Arial"/>
        <w:b/>
        <w:bCs/>
        <w:color w:val="385723" w:themeColor="accent6" w:themeShade="80"/>
        <w:sz w:val="24"/>
        <w:szCs w:val="24"/>
        <w:lang w:val="en-US"/>
      </w:rPr>
    </w:pPr>
  </w:p>
  <w:p>
    <w:pPr>
      <w:pStyle w:val="4"/>
      <w:ind w:left="-990"/>
      <w:rPr>
        <w:rFonts w:ascii="Arial" w:hAnsi="Arial" w:cs="Arial"/>
        <w:b/>
        <w:bCs/>
        <w:color w:val="385723" w:themeColor="accent6" w:themeShade="80"/>
        <w:sz w:val="24"/>
        <w:szCs w:val="24"/>
      </w:rPr>
    </w:pPr>
    <w:r>
      <w:rPr>
        <w:rFonts w:hint="default" w:ascii="Arial" w:hAnsi="Arial" w:cs="Arial"/>
        <w:b/>
        <w:bCs/>
        <w:color w:val="385723" w:themeColor="accent6" w:themeShade="80"/>
        <w:sz w:val="24"/>
        <w:szCs w:val="24"/>
        <w:lang w:val="en-US"/>
      </w:rPr>
      <w:tab/>
    </w:r>
    <w:r>
      <w:rPr>
        <w:rFonts w:ascii="Arial" w:hAnsi="Arial" w:cs="Arial"/>
        <w:b/>
        <w:bCs/>
        <w:color w:val="385723" w:themeColor="accent6" w:themeShade="80"/>
        <w:sz w:val="24"/>
        <w:szCs w:val="24"/>
      </w:rPr>
      <w:t>Federal Competition and Consumer Protection Commission</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2px;height:22px" o:bullet="t">
        <v:imagedata r:id="rId1" o:title=""/>
      </v:shape>
    </w:pict>
  </w:numPicBullet>
  <w:abstractNum w:abstractNumId="0">
    <w:nsid w:val="03F8657F"/>
    <w:multiLevelType w:val="multilevel"/>
    <w:tmpl w:val="03F8657F"/>
    <w:lvl w:ilvl="0" w:tentative="0">
      <w:start w:val="1"/>
      <w:numFmt w:val="lowerRoman"/>
      <w:lvlText w:val="%1."/>
      <w:lvlJc w:val="righ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1">
    <w:nsid w:val="61195076"/>
    <w:multiLevelType w:val="multilevel"/>
    <w:tmpl w:val="61195076"/>
    <w:lvl w:ilvl="0" w:tentative="0">
      <w:start w:val="1"/>
      <w:numFmt w:val="lowerRoman"/>
      <w:lvlText w:val="%1."/>
      <w:lvlJc w:val="righ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2">
    <w:nsid w:val="63A04F48"/>
    <w:multiLevelType w:val="multilevel"/>
    <w:tmpl w:val="63A04F48"/>
    <w:lvl w:ilvl="0" w:tentative="0">
      <w:start w:val="1"/>
      <w:numFmt w:val="lowerRoman"/>
      <w:lvlText w:val="%1."/>
      <w:lvlJc w:val="righ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6B4215E6"/>
    <w:multiLevelType w:val="multilevel"/>
    <w:tmpl w:val="6B4215E6"/>
    <w:lvl w:ilvl="0" w:tentative="0">
      <w:start w:val="1"/>
      <w:numFmt w:val="lowerRoman"/>
      <w:lvlText w:val="%1."/>
      <w:lvlJc w:val="righ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4">
    <w:nsid w:val="764A4983"/>
    <w:multiLevelType w:val="multilevel"/>
    <w:tmpl w:val="764A4983"/>
    <w:lvl w:ilvl="0" w:tentative="0">
      <w:start w:val="1"/>
      <w:numFmt w:val="lowerLetter"/>
      <w:lvlText w:val="%1."/>
      <w:lvlJc w:val="left"/>
      <w:pPr>
        <w:ind w:left="960" w:hanging="360"/>
      </w:pPr>
      <w:rPr>
        <w:sz w:val="20"/>
        <w:szCs w:val="22"/>
      </w:r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5">
    <w:nsid w:val="7A7821F7"/>
    <w:multiLevelType w:val="multilevel"/>
    <w:tmpl w:val="7A7821F7"/>
    <w:lvl w:ilvl="0" w:tentative="0">
      <w:start w:val="2"/>
      <w:numFmt w:val="decimal"/>
      <w:lvlText w:val="%1."/>
      <w:lvlJc w:val="left"/>
      <w:pPr>
        <w:tabs>
          <w:tab w:val="left" w:pos="720"/>
        </w:tabs>
        <w:ind w:left="720" w:hanging="360"/>
      </w:pPr>
      <w:rPr>
        <w:rFonts w:hint="default"/>
      </w:rPr>
    </w:lvl>
    <w:lvl w:ilvl="1" w:tentative="0">
      <w:start w:val="1"/>
      <w:numFmt w:val="bullet"/>
      <w:lvlText w:val=""/>
      <w:lvlPicBulletId w:val="0"/>
      <w:lvlJc w:val="right"/>
      <w:pPr>
        <w:ind w:left="0" w:firstLine="0"/>
      </w:pPr>
      <w:rPr>
        <w:rFonts w:hint="default" w:ascii="Symbol" w:hAnsi="Symbol"/>
      </w:rPr>
    </w:lvl>
    <w:lvl w:ilvl="2" w:tentative="0">
      <w:start w:val="5"/>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6">
    <w:nsid w:val="7E5C5A51"/>
    <w:multiLevelType w:val="multilevel"/>
    <w:tmpl w:val="7E5C5A51"/>
    <w:lvl w:ilvl="0" w:tentative="0">
      <w:start w:val="1"/>
      <w:numFmt w:val="lowerLetter"/>
      <w:lvlText w:val="%1."/>
      <w:lvlJc w:val="left"/>
      <w:pPr>
        <w:ind w:left="907" w:hanging="360"/>
      </w:pPr>
    </w:lvl>
    <w:lvl w:ilvl="1" w:tentative="0">
      <w:start w:val="1"/>
      <w:numFmt w:val="lowerLetter"/>
      <w:lvlText w:val="%2."/>
      <w:lvlJc w:val="left"/>
      <w:pPr>
        <w:ind w:left="1627" w:hanging="360"/>
      </w:pPr>
    </w:lvl>
    <w:lvl w:ilvl="2" w:tentative="0">
      <w:start w:val="1"/>
      <w:numFmt w:val="lowerRoman"/>
      <w:lvlText w:val="%3."/>
      <w:lvlJc w:val="right"/>
      <w:pPr>
        <w:ind w:left="2347" w:hanging="180"/>
      </w:pPr>
    </w:lvl>
    <w:lvl w:ilvl="3" w:tentative="0">
      <w:start w:val="1"/>
      <w:numFmt w:val="decimal"/>
      <w:lvlText w:val="%4."/>
      <w:lvlJc w:val="left"/>
      <w:pPr>
        <w:ind w:left="3067" w:hanging="360"/>
      </w:pPr>
    </w:lvl>
    <w:lvl w:ilvl="4" w:tentative="0">
      <w:start w:val="1"/>
      <w:numFmt w:val="lowerLetter"/>
      <w:lvlText w:val="%5."/>
      <w:lvlJc w:val="left"/>
      <w:pPr>
        <w:ind w:left="3787" w:hanging="360"/>
      </w:pPr>
    </w:lvl>
    <w:lvl w:ilvl="5" w:tentative="0">
      <w:start w:val="1"/>
      <w:numFmt w:val="lowerRoman"/>
      <w:lvlText w:val="%6."/>
      <w:lvlJc w:val="right"/>
      <w:pPr>
        <w:ind w:left="4507" w:hanging="180"/>
      </w:pPr>
    </w:lvl>
    <w:lvl w:ilvl="6" w:tentative="0">
      <w:start w:val="1"/>
      <w:numFmt w:val="decimal"/>
      <w:lvlText w:val="%7."/>
      <w:lvlJc w:val="left"/>
      <w:pPr>
        <w:ind w:left="5227" w:hanging="360"/>
      </w:pPr>
    </w:lvl>
    <w:lvl w:ilvl="7" w:tentative="0">
      <w:start w:val="1"/>
      <w:numFmt w:val="lowerLetter"/>
      <w:lvlText w:val="%8."/>
      <w:lvlJc w:val="left"/>
      <w:pPr>
        <w:ind w:left="5947" w:hanging="360"/>
      </w:pPr>
    </w:lvl>
    <w:lvl w:ilvl="8" w:tentative="0">
      <w:start w:val="1"/>
      <w:numFmt w:val="lowerRoman"/>
      <w:lvlText w:val="%9."/>
      <w:lvlJc w:val="right"/>
      <w:pPr>
        <w:ind w:left="6667" w:hanging="180"/>
      </w:p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E4"/>
    <w:rsid w:val="00125A74"/>
    <w:rsid w:val="001370AD"/>
    <w:rsid w:val="00192B5E"/>
    <w:rsid w:val="00262202"/>
    <w:rsid w:val="00440018"/>
    <w:rsid w:val="004F0D74"/>
    <w:rsid w:val="005155DE"/>
    <w:rsid w:val="00521900"/>
    <w:rsid w:val="0053337D"/>
    <w:rsid w:val="00962AE6"/>
    <w:rsid w:val="009734B3"/>
    <w:rsid w:val="00A22536"/>
    <w:rsid w:val="00A74B75"/>
    <w:rsid w:val="00AB1976"/>
    <w:rsid w:val="00B27877"/>
    <w:rsid w:val="00BA010F"/>
    <w:rsid w:val="00CE15E2"/>
    <w:rsid w:val="00CF4869"/>
    <w:rsid w:val="00D0103A"/>
    <w:rsid w:val="00D143C2"/>
    <w:rsid w:val="00EA69A1"/>
    <w:rsid w:val="00FA71E4"/>
    <w:rsid w:val="00FD53C2"/>
    <w:rsid w:val="7DDE73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1"/>
    <w:qFormat/>
    <w:uiPriority w:val="0"/>
    <w:pPr>
      <w:widowControl w:val="0"/>
      <w:autoSpaceDE w:val="0"/>
      <w:autoSpaceDN w:val="0"/>
      <w:spacing w:after="0" w:line="240" w:lineRule="auto"/>
    </w:pPr>
    <w:rPr>
      <w:rFonts w:ascii="Arial" w:hAnsi="Arial" w:eastAsia="Arial" w:cs="Arial"/>
      <w:sz w:val="20"/>
      <w:szCs w:val="20"/>
      <w:lang w:val="en-US"/>
    </w:rPr>
  </w:style>
  <w:style w:type="paragraph" w:styleId="3">
    <w:name w:val="footer"/>
    <w:basedOn w:val="1"/>
    <w:link w:val="10"/>
    <w:unhideWhenUsed/>
    <w:uiPriority w:val="99"/>
    <w:pPr>
      <w:tabs>
        <w:tab w:val="center" w:pos="4513"/>
        <w:tab w:val="right" w:pos="9026"/>
      </w:tabs>
      <w:spacing w:after="0" w:line="240" w:lineRule="auto"/>
    </w:pPr>
  </w:style>
  <w:style w:type="paragraph" w:styleId="4">
    <w:name w:val="header"/>
    <w:basedOn w:val="1"/>
    <w:link w:val="9"/>
    <w:unhideWhenUsed/>
    <w:uiPriority w:val="99"/>
    <w:pPr>
      <w:tabs>
        <w:tab w:val="center" w:pos="4513"/>
        <w:tab w:val="right" w:pos="9026"/>
      </w:tabs>
      <w:spacing w:after="0" w:line="240" w:lineRule="auto"/>
    </w:pPr>
  </w:style>
  <w:style w:type="table" w:styleId="7">
    <w:name w:val="Table Grid"/>
    <w:basedOn w:val="6"/>
    <w:qFormat/>
    <w:uiPriority w:val="39"/>
    <w:pPr>
      <w:widowControl w:val="0"/>
      <w:autoSpaceDE w:val="0"/>
      <w:autoSpaceDN w:val="0"/>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widowControl w:val="0"/>
      <w:autoSpaceDE w:val="0"/>
      <w:autoSpaceDN w:val="0"/>
      <w:spacing w:after="0" w:line="240" w:lineRule="auto"/>
    </w:pPr>
    <w:rPr>
      <w:rFonts w:ascii="Arial" w:hAnsi="Arial" w:eastAsia="Arial" w:cs="Arial"/>
      <w:lang w:val="en-US"/>
    </w:r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ody Text Char"/>
    <w:basedOn w:val="5"/>
    <w:link w:val="2"/>
    <w:uiPriority w:val="0"/>
    <w:rPr>
      <w:rFonts w:ascii="Arial" w:hAnsi="Arial" w:eastAsia="Arial" w:cs="Arial"/>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1867</Words>
  <Characters>10646</Characters>
  <Lines>88</Lines>
  <Paragraphs>24</Paragraphs>
  <TotalTime>1</TotalTime>
  <ScaleCrop>false</ScaleCrop>
  <LinksUpToDate>false</LinksUpToDate>
  <CharactersWithSpaces>12489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2020-03-14T22:14:00Z</dcterms:created>
  <dc:creator>Hibbatun-Nasser Shobambi</dc:creator>
  <cp:lastModifiedBy>HP</cp:lastModifiedBy>
  <dcterms:modified xsi:type="dcterms:W3CDTF">2020-07-23T01:25:32Z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