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55690" cy="9758680"/>
            <wp:effectExtent l="0" t="0" r="16510" b="13970"/>
            <wp:docPr id="1" name="图片 1" descr="新文档 2019-02-12 10.40.1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文档 2019-02-12 10.40.15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97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5115" cy="9596120"/>
            <wp:effectExtent l="0" t="0" r="13335" b="5080"/>
            <wp:docPr id="2" name="图片 2" descr="新文档 2019-02-12 10.40.1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文档 2019-02-12 10.40.15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95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542405" cy="9758680"/>
            <wp:effectExtent l="0" t="0" r="10795" b="13970"/>
            <wp:docPr id="3" name="图片 3" descr="新文档 2019-02-12 10.40.15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新文档 2019-02-12 10.40.15_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97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4005" cy="9630410"/>
            <wp:effectExtent l="0" t="0" r="4445" b="8890"/>
            <wp:docPr id="4" name="图片 4" descr="新文档 2019-02-12 10.40.15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文档 2019-02-12 10.40.15_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96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4056380</wp:posOffset>
                </wp:positionH>
                <wp:positionV relativeFrom="paragraph">
                  <wp:posOffset>1807845</wp:posOffset>
                </wp:positionV>
                <wp:extent cx="2556510" cy="351790"/>
                <wp:effectExtent l="0" t="0" r="15240" b="101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2645" y="2228215"/>
                          <a:ext cx="255651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（a与p互质，即a不是p的倍数）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4pt;margin-top:142.35pt;height:27.7pt;width:201.3pt;z-index:251658240;mso-width-relative:page;mso-height-relative:page;" fillcolor="#FFFFFF [3201]" filled="t" stroked="f" coordsize="21600,21600" o:gfxdata="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HOh+I1wAAAAwBAAAPAAAAAAAAAAEAIAAAACIA&#10;AABkcnMvZG93bnJldi54bWxQSwECFAAUAAAACACHTuJAvhwlJUMCAABNBAAADgAAAAAAAAABACAA&#10;AAAm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（a与p互质，即a不是p的倍数）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53760" cy="9765665"/>
            <wp:effectExtent l="0" t="0" r="8890" b="6985"/>
            <wp:docPr id="5" name="图片 5" descr="新文档 2019-02-12 10.40.15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新文档 2019-02-12 10.40.15_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97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7020" cy="9658985"/>
            <wp:effectExtent l="0" t="0" r="11430" b="18415"/>
            <wp:docPr id="6" name="图片 6" descr="新文档 2019-02-12 10.40.15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新文档 2019-02-12 10.40.15_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96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Theme="minorEastAsia" w:hAnsiTheme="minorEastAsia" w:cstheme="minorEastAsia"/>
          <w:color w:val="4F4F4F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sz w:val="24"/>
          <w:szCs w:val="24"/>
        </w:rPr>
        <w:t>任意取一个质数，比如13。考虑从1到12的一系列整数1,2,3,4,5,6,7,8,9,10,11,12，给这些数都乘上一个与13互质的数，比如3，得到3,6,9,12,15,18,21,24,27,30,33,36。对于模13来说，这些数同余于3,6,9,12,2,5,8,11,1,4,7,10。这些余数实际上就是原来的1,2,3,4,5,6,7,8,9,10,11,12，只是顺序不同而已。</w:t>
      </w:r>
      <w:r>
        <w:rPr>
          <w:rFonts w:hint="eastAsia" w:asciiTheme="minorEastAsia" w:hAnsiTheme="minorEastAsia" w:eastAsiaTheme="minorEastAsia" w:cstheme="minorEastAsia"/>
          <w:color w:val="333333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333333"/>
          <w:sz w:val="24"/>
          <w:szCs w:val="24"/>
        </w:rPr>
        <w:t>把1,2,3,…,12统统乘起来，乘积就是12的阶乘12！。把3,6,9,…,36也统统乘起来，并且提出公因子3，乘积就是312×12！。对于模13来说，这两个乘积都同余于1,2,3,…,12系列，尽管顺序不是一一对应，即312×12！≡12！mod 13。两边同时除以12！得312≡1 mod 13。如果用p代替13，用x代替3，就得到费马小定理x</w:t>
      </w:r>
      <w:r>
        <w:rPr>
          <w:rFonts w:hint="eastAsia" w:asciiTheme="minorEastAsia" w:hAnsiTheme="minorEastAsia" w:eastAsiaTheme="minorEastAsia" w:cstheme="minorEastAsia"/>
          <w:color w:val="333333"/>
          <w:sz w:val="24"/>
          <w:szCs w:val="24"/>
          <w:vertAlign w:val="superscript"/>
        </w:rPr>
        <w:t>p－1</w:t>
      </w:r>
      <w:r>
        <w:rPr>
          <w:rFonts w:hint="eastAsia" w:asciiTheme="minorEastAsia" w:hAnsiTheme="minorEastAsia" w:eastAsiaTheme="minorEastAsia" w:cstheme="minorEastAsia"/>
          <w:color w:val="333333"/>
          <w:sz w:val="24"/>
          <w:szCs w:val="24"/>
        </w:rPr>
        <w:t>≡1 mod p。</w:t>
      </w:r>
      <w:r>
        <w:rPr>
          <w:rFonts w:hint="eastAsia" w:asciiTheme="minorEastAsia" w:hAnsiTheme="minorEastAsia" w:eastAsiaTheme="minorEastAsia" w:cstheme="minorEastAsia"/>
          <w:color w:val="4F4F4F"/>
          <w:sz w:val="24"/>
          <w:szCs w:val="24"/>
        </w:rPr>
        <w:t>他可以用来求乘法逆元等等。</w:t>
      </w:r>
      <w:r>
        <w:rPr>
          <w:rFonts w:hint="eastAsia" w:asciiTheme="minorEastAsia" w:hAnsiTheme="minorEastAsia" w:cstheme="minorEastAsia"/>
          <w:color w:val="4F4F4F"/>
          <w:sz w:val="24"/>
          <w:szCs w:val="24"/>
          <w:lang w:eastAsia="zh-CN"/>
        </w:rPr>
        <w:t>）</w:t>
      </w:r>
    </w:p>
    <w:p/>
    <w:p>
      <w:bookmarkStart w:id="4" w:name="_GoBack"/>
      <w:bookmarkEnd w:id="4"/>
      <w:r>
        <w:drawing>
          <wp:inline distT="0" distB="0" distL="114300" distR="114300">
            <wp:extent cx="4226560" cy="1629410"/>
            <wp:effectExtent l="0" t="0" r="254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2" w:beforeAutospacing="0" w:after="262" w:afterAutospacing="0"/>
        <w:ind w:left="0" w:right="0"/>
        <w:rPr>
          <w:rFonts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36"/>
          <w:szCs w:val="36"/>
          <w:shd w:val="clear" w:fill="FFFFFF"/>
        </w:rPr>
        <w:t>关于一个欧拉函数的性质的证明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540" w:lineRule="atLeast"/>
        <w:ind w:left="0" w:right="0"/>
        <w:rPr>
          <w:rFonts w:hint="eastAsia" w:ascii="微软雅黑" w:hAnsi="微软雅黑" w:eastAsia="微软雅黑" w:cs="微软雅黑"/>
          <w:b/>
          <w:color w:val="4F4F4F"/>
          <w:sz w:val="42"/>
          <w:szCs w:val="42"/>
        </w:rPr>
      </w:pPr>
      <w:bookmarkStart w:id="0" w:name="t0"/>
      <w:bookmarkEnd w:id="0"/>
      <w:r>
        <w:rPr>
          <w:rFonts w:hint="eastAsia" w:ascii="微软雅黑" w:hAnsi="微软雅黑" w:eastAsia="微软雅黑" w:cs="微软雅黑"/>
          <w:b/>
          <w:color w:val="4F4F4F"/>
          <w:sz w:val="42"/>
          <w:szCs w:val="42"/>
        </w:rPr>
        <w:t>性质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</w:rPr>
        <w:t>对于任意的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u w:val="none"/>
        </w:rPr>
        <w:t>n∈N∗</w:t>
      </w:r>
      <w:r>
        <w:rPr>
          <w:rFonts w:hint="eastAsia" w:ascii="微软雅黑" w:hAnsi="微软雅黑" w:eastAsia="微软雅黑" w:cs="微软雅黑"/>
          <w:color w:val="4F4F4F"/>
          <w:sz w:val="24"/>
          <w:szCs w:val="24"/>
        </w:rPr>
        <w:t> ，有：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540" w:lineRule="atLeast"/>
        <w:ind w:left="0" w:right="0"/>
      </w:pPr>
      <w:bookmarkStart w:id="1" w:name="t1"/>
      <w:bookmarkEnd w:id="1"/>
      <w:r>
        <w:drawing>
          <wp:inline distT="0" distB="0" distL="114300" distR="114300">
            <wp:extent cx="1381125" cy="558800"/>
            <wp:effectExtent l="0" t="0" r="95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540" w:lineRule="atLeast"/>
        <w:ind w:left="0" w:right="0"/>
        <w:rPr>
          <w:rFonts w:hint="eastAsia" w:ascii="微软雅黑" w:hAnsi="微软雅黑" w:eastAsia="微软雅黑" w:cs="微软雅黑"/>
          <w:b/>
          <w:color w:val="4F4F4F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color w:val="4F4F4F"/>
          <w:sz w:val="42"/>
          <w:szCs w:val="42"/>
        </w:rPr>
        <w:t>证明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480" w:lineRule="atLeast"/>
        <w:ind w:left="0" w:right="0"/>
        <w:rPr>
          <w:rFonts w:hint="eastAsia" w:ascii="微软雅黑" w:hAnsi="微软雅黑" w:eastAsia="微软雅黑" w:cs="微软雅黑"/>
          <w:b/>
          <w:color w:val="4F4F4F"/>
          <w:sz w:val="36"/>
          <w:szCs w:val="36"/>
        </w:rPr>
      </w:pPr>
      <w:bookmarkStart w:id="2" w:name="t2"/>
      <w:bookmarkEnd w:id="2"/>
      <w:r>
        <w:rPr>
          <w:rFonts w:hint="eastAsia" w:ascii="微软雅黑" w:hAnsi="微软雅黑" w:eastAsia="微软雅黑" w:cs="微软雅黑"/>
          <w:b/>
          <w:color w:val="4F4F4F"/>
          <w:sz w:val="36"/>
          <w:szCs w:val="36"/>
        </w:rPr>
        <w:t>方法一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</w:rPr>
        <w:t>设集合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Arial" w:hAnsi="Arial" w:eastAsia="Arial" w:cs="Arial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M={1,2,3,⋯,n−1,n}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Arial" w:hAnsi="Arial" w:eastAsia="Arial" w:cs="Arial"/>
        </w:rPr>
      </w:pP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我们尝试将集合中的数分类。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每个数都能按照其与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的最大公因数来分。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不妨设我们当前讨论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M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中与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的最大公因数为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d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的数有多少个，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d|n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。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假设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dx∈M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并且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gcd(dx,n)=d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，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那么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gcd(x,n/d)=1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，且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x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属于集合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Arial" w:hAnsi="Arial" w:eastAsia="Arial" w:cs="Arial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M′={1,2,⋯,n/d}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这样，个数显然就是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x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的所有可能取值也就是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φ(n/d)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。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当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d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跑遍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的因子时，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n/d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也跑遍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的因子。因为每个数与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的最大公因数是确定的，因此每个数分类时会且仅会被分一次。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所以，可以得出结论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480" w:lineRule="atLeast"/>
        <w:ind w:left="0" w:right="0"/>
      </w:pPr>
      <w:bookmarkStart w:id="3" w:name="t3"/>
      <w:bookmarkEnd w:id="3"/>
      <w:r>
        <w:drawing>
          <wp:inline distT="0" distB="0" distL="114300" distR="114300">
            <wp:extent cx="1287145" cy="520700"/>
            <wp:effectExtent l="0" t="0" r="825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480" w:lineRule="atLeast"/>
        <w:ind w:left="0" w:right="0"/>
        <w:rPr>
          <w:rFonts w:hint="eastAsia" w:ascii="微软雅黑" w:hAnsi="微软雅黑" w:eastAsia="微软雅黑" w:cs="微软雅黑"/>
          <w:b/>
          <w:color w:val="4F4F4F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4F4F4F"/>
          <w:sz w:val="36"/>
          <w:szCs w:val="36"/>
        </w:rPr>
        <w:t>方法二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微软雅黑" w:hAnsi="微软雅黑" w:eastAsia="微软雅黑" w:cs="微软雅黑"/>
          <w:color w:val="4F4F4F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F4F4F"/>
          <w:sz w:val="24"/>
          <w:szCs w:val="24"/>
        </w:rPr>
        <w:t>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Arial" w:hAnsi="Arial" w:eastAsia="Arial" w:cs="Arial"/>
        </w:rPr>
      </w:pPr>
      <w:r>
        <w:drawing>
          <wp:inline distT="0" distB="0" distL="114300" distR="114300">
            <wp:extent cx="838200" cy="286385"/>
            <wp:effectExtent l="0" t="0" r="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首先，当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n=1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时，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Arial" w:hAnsi="Arial" w:eastAsia="Arial" w:cs="Arial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f(1)=1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性质显然成立.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当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n=p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时(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p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为质数)，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Arial" w:hAnsi="Arial" w:eastAsia="Arial" w:cs="Arial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f(n)=φ(1)+φ(n)=1+(n−1)=n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显然成立.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当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n=p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vertAlign w:val="superscript"/>
          <w:lang w:val="en-US" w:eastAsia="zh-CN" w:bidi="ar"/>
        </w:rPr>
        <w:t>k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时，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</w:pPr>
      <w:r>
        <w:drawing>
          <wp:inline distT="0" distB="0" distL="114300" distR="114300">
            <wp:extent cx="2162175" cy="571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/>
        </w:rPr>
      </w:pPr>
      <w:r>
        <w:drawing>
          <wp:inline distT="0" distB="0" distL="114300" distR="114300">
            <wp:extent cx="1828800" cy="60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Arial" w:hAnsi="Arial" w:eastAsia="Arial" w:cs="Arial"/>
        </w:rPr>
      </w:pPr>
      <w:r>
        <w:drawing>
          <wp:inline distT="0" distB="0" distL="114300" distR="114300">
            <wp:extent cx="3734435" cy="472440"/>
            <wp:effectExtent l="0" t="0" r="1841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default" w:ascii="Arial" w:hAnsi="Arial" w:eastAsia="Arial" w:cs="Arial"/>
        </w:rPr>
      </w:pP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成立.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因为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φ(n)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是积性函数，根据莫比乌斯反演的充要性，得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u w:val="none"/>
          <w:lang w:val="en-US" w:eastAsia="zh-CN" w:bidi="ar"/>
        </w:rPr>
        <w:t>f(n)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t>是积性函数. </w:t>
      </w:r>
      <w:r>
        <w:rPr>
          <w:rFonts w:hint="default" w:ascii="Arial" w:hAnsi="Arial" w:eastAsia="Arial" w:cs="Arial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4098925" cy="2119630"/>
            <wp:effectExtent l="0" t="0" r="1587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/>
    <w:p>
      <w:pPr>
        <w:rPr>
          <w:rFonts w:hint="eastAsia"/>
          <w:lang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thJax_Size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A14E85"/>
    <w:rsid w:val="204A56E4"/>
    <w:rsid w:val="28381C5F"/>
    <w:rsid w:val="3E1468CF"/>
    <w:rsid w:val="4E4D4DF5"/>
    <w:rsid w:val="7C76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ZZS</dc:creator>
  <cp:lastModifiedBy>ZZS</cp:lastModifiedBy>
  <dcterms:modified xsi:type="dcterms:W3CDTF">2019-02-23T00:37:51Z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