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REDCIBER  ×  CERT ACADÉMICO</w:t>
      </w:r>
    </w:p>
    <w:p>
      <w:pPr>
        <w:spacing w:after="80" w:before="260"/>
      </w:pPr>
      <w:r>
        <w:rPr>
          <w:rFonts w:ascii="Cambria" w:cs="Cambria" w:eastAsia="Cambria" w:hAnsi="Cambria"/>
          <w:b/>
          <w:bCs/>
          <w:color w:val="10172A"/>
          <w:sz w:val="64"/>
          <w:szCs w:val="64"/>
        </w:rPr>
        <w:t xml:space="preserve">IA Ofensiva</w:t>
      </w:r>
    </w:p>
    <w:p>
      <w:pPr>
        <w:spacing w:after="240"/>
      </w:pPr>
      <w:r>
        <w:rPr>
          <w:rFonts w:ascii="Cambria" w:cs="Cambria" w:eastAsia="Cambria" w:hAnsi="Cambria"/>
          <w:i/>
          <w:iCs/>
          <w:color w:val="C81E3A"/>
          <w:sz w:val="32"/>
          <w:szCs w:val="32"/>
        </w:rPr>
        <w:t xml:space="preserve">El nuevo paradigma del Insider en Gobierno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Guía del Facilitador — Sesión de 45 minutos</w:t>
      </w:r>
    </w:p>
    <w:p>
      <w:pPr>
        <w:spacing w:after="40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Dirigido a personal de Ministerios de Hacienda y Finanzas Públicas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6"/>
      </w:tblGrid>
      <w:tr>
        <w:tc>
          <w:tcPr>
            <w:tcW w:type="pct" w:w="5000"/>
            <w:shd w:fill="E1F0E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27475"/>
                <w:sz w:val="22"/>
                <w:szCs w:val="22"/>
              </w:rPr>
              <w:t xml:space="preserve">Contenido agnóstico de proveedor tecnológico y de jurisdicción — principios aplicables a cualquier gobierno.</w:t>
            </w:r>
          </w:p>
        </w:tc>
      </w:tr>
    </w:tbl>
    <w:p>
      <w:pPr>
        <w:spacing w:before="5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Versión: septiembre de 2026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0172A"/>
          <w:sz w:val="32"/>
          <w:szCs w:val="32"/>
        </w:rPr>
        <w:t xml:space="preserve">Ficha técnica del curso</w:t>
      </w:r>
    </w:p>
    <w:tbl>
      <w:tblPr>
        <w:tblW w:type="pct" w:w="5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pct" w:w="1500"/>
            <w:shd w:fill="1017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pct" w:w="3500"/>
            <w:shd w:fill="1017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Título</w:t>
            </w:r>
          </w:p>
        </w:tc>
        <w:tc>
          <w:tcPr>
            <w:tcW w:type="pct" w:w="3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IA Ofensiva: El nuevo paradigma del Insider en Gobierno</w:t>
            </w:r>
          </w:p>
        </w:tc>
      </w:tr>
      <w:tr>
        <w:tc>
          <w:tcPr>
            <w:tcW w:type="pct" w:w="15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Duración</w:t>
            </w:r>
          </w:p>
        </w:tc>
        <w:tc>
          <w:tcPr>
            <w:tcW w:type="pct" w:w="35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45 minutos (recomendable reservar 10-15 minutos adicionales para preguntas)</w:t>
            </w:r>
          </w:p>
        </w:tc>
      </w:tr>
      <w:tr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Modalidad</w:t>
            </w:r>
          </w:p>
        </w:tc>
        <w:tc>
          <w:tcPr>
            <w:tcW w:type="pct" w:w="3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Presencial — adaptable a formato virtual con cambios menores</w:t>
            </w:r>
          </w:p>
        </w:tc>
      </w:tr>
      <w:tr>
        <w:tc>
          <w:tcPr>
            <w:tcW w:type="pct" w:w="15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Audiencia</w:t>
            </w:r>
          </w:p>
        </w:tc>
        <w:tc>
          <w:tcPr>
            <w:tcW w:type="pct" w:w="35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Personal de tesorería, pagos, auditoría interna, TI, cumplimiento y dirección de Ministerios de Hacienda/Finanzas</w:t>
            </w:r>
          </w:p>
        </w:tc>
      </w:tr>
      <w:tr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Tamaño de grupo</w:t>
            </w:r>
          </w:p>
        </w:tc>
        <w:tc>
          <w:tcPr>
            <w:tcW w:type="pct" w:w="3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15 a 60 personas (sin límite técnico estricto)</w:t>
            </w:r>
          </w:p>
        </w:tc>
      </w:tr>
      <w:tr>
        <w:tc>
          <w:tcPr>
            <w:tcW w:type="pct" w:w="15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Nivel</w:t>
            </w:r>
          </w:p>
        </w:tc>
        <w:tc>
          <w:tcPr>
            <w:tcW w:type="pct" w:w="35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Introductorio-intermedio — sin requisitos técnicos previos</w:t>
            </w:r>
          </w:p>
        </w:tc>
      </w:tr>
      <w:tr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Materiales</w:t>
            </w:r>
          </w:p>
        </w:tc>
        <w:tc>
          <w:tcPr>
            <w:tcW w:type="pct" w:w="3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Presentación "ia-ofensiva-insider-gobierno.pptx" (33 diapositivas), proyector, esta guía</w:t>
            </w:r>
          </w:p>
        </w:tc>
      </w:tr>
      <w:tr>
        <w:tc>
          <w:tcPr>
            <w:tcW w:type="pct" w:w="15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Enfoque</w:t>
            </w:r>
          </w:p>
        </w:tc>
        <w:tc>
          <w:tcPr>
            <w:tcW w:type="pct" w:w="35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Agnóstico de proveedor de IA y de marco legal específico de un país</w:t>
            </w:r>
          </w:p>
        </w:tc>
      </w:tr>
      <w:tr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Organiza</w:t>
            </w:r>
          </w:p>
        </w:tc>
        <w:tc>
          <w:tcPr>
            <w:tcW w:type="pct" w:w="3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RedCiber.org × CERT Académico</w:t>
            </w:r>
          </w:p>
        </w:tc>
      </w:tr>
    </w:tbl>
    <w:p>
      <w:pPr>
        <w:spacing w:before="260"/>
      </w:pP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0172A"/>
          <w:sz w:val="32"/>
          <w:szCs w:val="32"/>
        </w:rPr>
        <w:t xml:space="preserve">Objetivos de aprendizaje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Al finalizar la sesión, los participantes podrán: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Explicar por qué la IA generativa y agéntica redefine el concepto tradicional de "amenaza interna" (insider threat).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Identificar los dos vectores nuevos de riesgo: identidad sintética (deepfakes de voz y video) y agentes de IA con privilegios de sistema.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Reconocer los tres frentes de exposición específicos de un Ministerio de Hacienda: pagos y tesorería, impuestos, y adquisiciones.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Ubicar los principales marcos oficiales de referencia (CISA, NIST, MITRE ATLAS, OWASP, OCDE/G20) para profundizar después de la sesión.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Aplicar cuatro recomendaciones concretas de gobernanza, independientes de cualquier proveedor tecnológico.</w:t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0172A"/>
          <w:sz w:val="32"/>
          <w:szCs w:val="32"/>
        </w:rPr>
        <w:t xml:space="preserve">Agenda minuto a minuto</w:t>
      </w:r>
    </w:p>
    <w:tbl>
      <w:tblPr>
        <w:tblW w:type="pct" w:w="5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80"/>
        <w:gridCol w:w="2160"/>
        <w:gridCol w:w="4500"/>
        <w:gridCol w:w="1260"/>
      </w:tblGrid>
      <w:tr>
        <w:trPr>
          <w:tblHeader/>
        </w:trPr>
        <w:tc>
          <w:tcPr>
            <w:tcW w:type="pct" w:w="600"/>
            <w:shd w:fill="1017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Minuto</w:t>
            </w:r>
          </w:p>
        </w:tc>
        <w:tc>
          <w:tcPr>
            <w:tcW w:type="pct" w:w="1200"/>
            <w:shd w:fill="1017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type="pct" w:w="2500"/>
            <w:shd w:fill="1017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  <w:tc>
          <w:tcPr>
            <w:tcW w:type="pct" w:w="700"/>
            <w:shd w:fill="1017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Diapositivas</w:t>
            </w:r>
          </w:p>
        </w:tc>
      </w:tr>
      <w:tr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0–5</w:t>
            </w:r>
          </w:p>
        </w:tc>
        <w:tc>
          <w:tcPr>
            <w:tcW w:type="pct" w:w="1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Encuadre</w:t>
            </w:r>
          </w:p>
        </w:tc>
        <w:tc>
          <w:tcPr>
            <w:tcW w:type="pct" w:w="2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Bienvenida, quiénes presentan, agenda, por qué Hacienda</w:t>
            </w:r>
          </w:p>
        </w:tc>
        <w:tc>
          <w:tcPr>
            <w:tcW w:type="pct" w:w="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1–4</w:t>
            </w:r>
          </w:p>
        </w:tc>
      </w:tr>
      <w:tr>
        <w:tc>
          <w:tcPr>
            <w:tcW w:type="pct" w:w="6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5–13</w:t>
            </w:r>
          </w:p>
        </w:tc>
        <w:tc>
          <w:tcPr>
            <w:tcW w:type="pct" w:w="12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El nuevo paradigma</w:t>
            </w:r>
          </w:p>
        </w:tc>
        <w:tc>
          <w:tcPr>
            <w:tcW w:type="pct" w:w="25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Definición de IA ofensiva, paradigma clásico del insider, las dos vías nuevas</w:t>
            </w:r>
          </w:p>
        </w:tc>
        <w:tc>
          <w:tcPr>
            <w:tcW w:type="pct" w:w="7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5–9</w:t>
            </w:r>
          </w:p>
        </w:tc>
      </w:tr>
      <w:tr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13–21</w:t>
            </w:r>
          </w:p>
        </w:tc>
        <w:tc>
          <w:tcPr>
            <w:tcW w:type="pct" w:w="1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Casos y cifras</w:t>
            </w:r>
          </w:p>
        </w:tc>
        <w:tc>
          <w:tcPr>
            <w:tcW w:type="pct" w:w="2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Caso Arup, casos adicionales, cifras del sector, alerta oficial de FinCEN</w:t>
            </w:r>
          </w:p>
        </w:tc>
        <w:tc>
          <w:tcPr>
            <w:tcW w:type="pct" w:w="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10–13</w:t>
            </w:r>
          </w:p>
        </w:tc>
      </w:tr>
      <w:tr>
        <w:tc>
          <w:tcPr>
            <w:tcW w:type="pct" w:w="6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21–29</w:t>
            </w:r>
          </w:p>
        </w:tc>
        <w:tc>
          <w:tcPr>
            <w:tcW w:type="pct" w:w="12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El terreno de Hacienda</w:t>
            </w:r>
          </w:p>
        </w:tc>
        <w:tc>
          <w:tcPr>
            <w:tcW w:type="pct" w:w="25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Los tres frentes de exposición, la paradoja defensiva</w:t>
            </w:r>
          </w:p>
        </w:tc>
        <w:tc>
          <w:tcPr>
            <w:tcW w:type="pct" w:w="7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14–18</w:t>
            </w:r>
          </w:p>
        </w:tc>
      </w:tr>
      <w:tr>
        <w:tc>
          <w:tcPr>
            <w:tcW w:type="pct" w:w="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29–37</w:t>
            </w:r>
          </w:p>
        </w:tc>
        <w:tc>
          <w:tcPr>
            <w:tcW w:type="pct" w:w="1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Marcos oficiales</w:t>
            </w:r>
          </w:p>
        </w:tc>
        <w:tc>
          <w:tcPr>
            <w:tcW w:type="pct" w:w="2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CISA, NIST, Five Eyes, MITRE ATLAS, OWASP, OCDE/G20</w:t>
            </w:r>
          </w:p>
        </w:tc>
        <w:tc>
          <w:tcPr>
            <w:tcW w:type="pct" w:w="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19–25</w:t>
            </w:r>
          </w:p>
        </w:tc>
      </w:tr>
      <w:tr>
        <w:tc>
          <w:tcPr>
            <w:tcW w:type="pct" w:w="6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37–45</w:t>
            </w:r>
          </w:p>
        </w:tc>
        <w:tc>
          <w:tcPr>
            <w:tcW w:type="pct" w:w="12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Recomendaciones y cierre</w:t>
            </w:r>
          </w:p>
        </w:tc>
        <w:tc>
          <w:tcPr>
            <w:tcW w:type="pct" w:w="25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Cuatro recomendaciones de gobernanza, cierre, preguntas</w:t>
            </w:r>
          </w:p>
        </w:tc>
        <w:tc>
          <w:tcPr>
            <w:tcW w:type="pct" w:w="7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26–31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0172A"/>
          <w:sz w:val="32"/>
          <w:szCs w:val="32"/>
        </w:rPr>
        <w:t xml:space="preserve">Guía del facilitador por bloque</w:t>
      </w:r>
    </w:p>
    <w:p>
      <w:pPr>
        <w:pStyle w:val="Heading2"/>
        <w:spacing w:after="140" w:before="260"/>
      </w:pPr>
      <w:r>
        <w:rPr>
          <w:rFonts w:ascii="Cambria" w:cs="Cambria" w:eastAsia="Cambria" w:hAnsi="Cambria"/>
          <w:b/>
          <w:bCs/>
          <w:color w:val="C81E3A"/>
          <w:sz w:val="25"/>
          <w:szCs w:val="25"/>
        </w:rPr>
        <w:t xml:space="preserve">Bloque 1 — Encuadre (min. 0–5)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Abrir reconociendo a la audiencia específica: esta charla se diseñó pensando en el trabajo diario de tesorería, pagos e impuestos — no es una charla técnica genérica de ciberseguridad.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Aclarar desde el inicio la nota de independencia (diapositiva 2): no se promueve ningún producto comercial.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Usar la referencia al G20 (diapositiva 4) para legitimar el tema: esto no es alarmismo, ya está en la agenda de sus pares a nivel de Ministros de Finanzas.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Tip de facilitación: preguntar a la sala, a mano alzada, si alguien ha recibido o conoce un caso de intento de fraude por videollamada o llamada telefónica. Suele haber al menos una mano.</w:t>
      </w:r>
    </w:p>
    <w:p>
      <w:pPr>
        <w:pStyle w:val="Heading2"/>
        <w:spacing w:after="140" w:before="260"/>
      </w:pPr>
      <w:r>
        <w:rPr>
          <w:rFonts w:ascii="Cambria" w:cs="Cambria" w:eastAsia="Cambria" w:hAnsi="Cambria"/>
          <w:b/>
          <w:bCs/>
          <w:color w:val="C81E3A"/>
          <w:sz w:val="25"/>
          <w:szCs w:val="25"/>
        </w:rPr>
        <w:t xml:space="preserve">Bloque 2 — El nuevo paradigma (min. 5–13)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Es el bloque conceptual más denso de la sesión; no acelerar el ritmo aquí.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Anclar en el nombre "CERT": el propio concepto de "insider threat" nace del mismo centro (SEI, Carnegie Mellon) que dio origen a los CERT — conexión directa con la marca CERT Académico.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Al llegar a las "dos vías" (diapositiva 7), hacer una pausa deliberada — es la tesis central de toda la charla y conviene dejarla respirar.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Evitar tecnicismos innecesarios sobre "agentes de IA": la analogía del "empleado que nunca duerme, nunca cuestiona" funciona mejor con audiencias no técnicas.</w:t>
      </w:r>
    </w:p>
    <w:p>
      <w:pPr>
        <w:pStyle w:val="Heading2"/>
        <w:spacing w:after="140" w:before="260"/>
      </w:pPr>
      <w:r>
        <w:rPr>
          <w:rFonts w:ascii="Cambria" w:cs="Cambria" w:eastAsia="Cambria" w:hAnsi="Cambria"/>
          <w:b/>
          <w:bCs/>
          <w:color w:val="C81E3A"/>
          <w:sz w:val="25"/>
          <w:szCs w:val="25"/>
        </w:rPr>
        <w:t xml:space="preserve">Bloque 3 — Casos y cifras (min. 13–21)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El caso Arup es el ancla emocional de la charla — conviene narrarlo como historia, no leer la diapositiva textualmente.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Ser explícito sobre la diferencia entre cifras oficiales (FinCEN) y cifras de la industria (diapositiva 12): mantiene la credibilidad y modela buen criterio de fuentes ante una audiencia de gobierno.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No es necesario memorizar cifras exactas: el mensaje central es la tendencia, no el decimal preciso.</w:t>
      </w:r>
    </w:p>
    <w:p>
      <w:pPr>
        <w:pStyle w:val="Heading2"/>
        <w:spacing w:after="140" w:before="260"/>
      </w:pPr>
      <w:r>
        <w:rPr>
          <w:rFonts w:ascii="Cambria" w:cs="Cambria" w:eastAsia="Cambria" w:hAnsi="Cambria"/>
          <w:b/>
          <w:bCs/>
          <w:color w:val="C81E3A"/>
          <w:sz w:val="25"/>
          <w:szCs w:val="25"/>
        </w:rPr>
        <w:t xml:space="preserve">Bloque 4 — El terreno de Hacienda (min. 21–29)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Este es el bloque de mayor relevancia directa para la audiencia — vale la pena dedicarle tiempo extra a preguntas espontáneas si surgen.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 "pregunta de diagnóstico" de la diapositiva 15 puede lanzarse como pregunta real a la sala, no solo como recurso retórico.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Cerrar con la paradoja defensiva (diapositiva 18) para evitar que la sala salga con sensación de indefensión total: el mensaje de cierre de este bloque debe ser de agencia, no de fatalismo.</w:t>
      </w:r>
    </w:p>
    <w:p>
      <w:pPr>
        <w:pStyle w:val="Heading2"/>
        <w:spacing w:after="140" w:before="260"/>
      </w:pPr>
      <w:r>
        <w:rPr>
          <w:rFonts w:ascii="Cambria" w:cs="Cambria" w:eastAsia="Cambria" w:hAnsi="Cambria"/>
          <w:b/>
          <w:bCs/>
          <w:color w:val="C81E3A"/>
          <w:sz w:val="25"/>
          <w:szCs w:val="25"/>
        </w:rPr>
        <w:t xml:space="preserve">Bloque 5 — Marcos oficiales (min. 29–37)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Es un bloque de referencia: no hace falta profundizar en cada marco en el momento — se puede mencionar que todos quedan documentados en esta misma guía.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Enfatizar que las seis referencias son gratuitas, públicas, y no requieren comprar nada.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Mencionar que el propio país de la audiencia probablemente ya participa de alguno de estos marcos — la OCDE y el G20 tienen membresía y participación activa de numerosos países de América Latina.</w:t>
      </w:r>
    </w:p>
    <w:p>
      <w:pPr>
        <w:pStyle w:val="Heading2"/>
        <w:spacing w:after="140" w:before="260"/>
      </w:pPr>
      <w:r>
        <w:rPr>
          <w:rFonts w:ascii="Cambria" w:cs="Cambria" w:eastAsia="Cambria" w:hAnsi="Cambria"/>
          <w:b/>
          <w:bCs/>
          <w:color w:val="C81E3A"/>
          <w:sz w:val="25"/>
          <w:szCs w:val="25"/>
        </w:rPr>
        <w:t xml:space="preserve">Bloque 6 — Recomendaciones y cierre (min. 37–45)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Presentar las cuatro recomendaciones como un punto de partida realista, no como una lista exhaustiva de todo lo que se podría hacer.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Sugerencia de cierre: pedir a la sala que identifique, en silencio, cuál de las cuatro recomendaciones es más urgente para su propia área — sin necesidad de compartirlo en voz alta, solo para activar la reflexión individual.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Dejar tiempo real para preguntas. Si el tiempo es corto, priorizar preguntas sobre el Bloque 4 (terreno de Hacienda) por ser el de mayor aplicación práctica inmediata.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0172A"/>
          <w:sz w:val="32"/>
          <w:szCs w:val="32"/>
        </w:rPr>
        <w:t xml:space="preserve">Casos y cifras — referencia rápida</w:t>
      </w:r>
    </w:p>
    <w:tbl>
      <w:tblPr>
        <w:tblW w:type="pct" w:w="5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620"/>
        <w:gridCol w:w="4680"/>
        <w:gridCol w:w="2700"/>
      </w:tblGrid>
      <w:tr>
        <w:trPr>
          <w:tblHeader/>
        </w:trPr>
        <w:tc>
          <w:tcPr>
            <w:tcW w:type="pct" w:w="900"/>
            <w:shd w:fill="1017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/ cifra</w:t>
            </w:r>
          </w:p>
        </w:tc>
        <w:tc>
          <w:tcPr>
            <w:tcW w:type="pct" w:w="2600"/>
            <w:shd w:fill="1017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  <w:tc>
          <w:tcPr>
            <w:tcW w:type="pct" w:w="1500"/>
            <w:shd w:fill="1017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</w:tr>
      <w:tr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Arup</w:t>
            </w:r>
          </w:p>
        </w:tc>
        <w:tc>
          <w:tcPr>
            <w:tcW w:type="pct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USD 25.6M transferidos en 15 operaciones tras una videollamada con deepfakes. Hong Kong, enero de 2024.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Reportes de aseguradoras y medios de ciberseguridad</w:t>
            </w:r>
          </w:p>
        </w:tc>
      </w:tr>
      <w:tr>
        <w:tc>
          <w:tcPr>
            <w:tcW w:type="pct" w:w="9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+1,600%</w:t>
            </w:r>
          </w:p>
        </w:tc>
        <w:tc>
          <w:tcPr>
            <w:tcW w:type="pct" w:w="26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Crecimiento del vishing con deepfake en EE.UU., T1 2025 vs. T4 2024.</w:t>
            </w:r>
          </w:p>
        </w:tc>
        <w:tc>
          <w:tcPr>
            <w:tcW w:type="pct" w:w="15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Reportes del sector</w:t>
            </w:r>
          </w:p>
        </w:tc>
      </w:tr>
      <w:tr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5% → 40%</w:t>
            </w:r>
          </w:p>
        </w:tc>
        <w:tc>
          <w:tcPr>
            <w:tcW w:type="pct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Participación de deepfakes en incidentes de compromiso de correo corporativo (BEC), 2023 → T1 2026.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Reportes del sector</w:t>
            </w:r>
          </w:p>
        </w:tc>
      </w:tr>
      <w:tr>
        <w:tc>
          <w:tcPr>
            <w:tcW w:type="pct" w:w="9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USD 40B</w:t>
            </w:r>
          </w:p>
        </w:tc>
        <w:tc>
          <w:tcPr>
            <w:tcW w:type="pct" w:w="26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Proyección de pérdidas anuales por fraude con IA en EE.UU. para 2027.</w:t>
            </w:r>
          </w:p>
        </w:tc>
        <w:tc>
          <w:tcPr>
            <w:tcW w:type="pct" w:w="15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Reportes del sector</w:t>
            </w:r>
          </w:p>
        </w:tc>
      </w:tr>
      <w:tr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FIN-2024-Alert004</w:t>
            </w:r>
          </w:p>
        </w:tc>
        <w:tc>
          <w:tcPr>
            <w:tcW w:type="pct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Primera alerta oficial de EE.UU. sobre fraude con medios deepfake generados por IA.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FinCEN, 13 nov. 2024</w:t>
            </w:r>
          </w:p>
        </w:tc>
      </w:tr>
      <w:tr>
        <w:tc>
          <w:tcPr>
            <w:tcW w:type="pct" w:w="9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+111%</w:t>
            </w:r>
          </w:p>
        </w:tc>
        <w:tc>
          <w:tcPr>
            <w:tcW w:type="pct" w:w="26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Crecimiento interanual del fraude fiscal identificado por investigaciones criminales.</w:t>
            </w:r>
          </w:p>
        </w:tc>
        <w:tc>
          <w:tcPr>
            <w:tcW w:type="pct" w:w="15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IRS Criminal Investigation, FY2025</w:t>
            </w:r>
          </w:p>
        </w:tc>
      </w:tr>
      <w:tr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USD 10.59B</w:t>
            </w:r>
          </w:p>
        </w:tc>
        <w:tc>
          <w:tcPr>
            <w:tcW w:type="pct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Delitos financieros identificados por IRS Criminal Investigation en el año fiscal 2025.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IRS Criminal Investigation</w:t>
            </w:r>
          </w:p>
        </w:tc>
      </w:tr>
      <w:tr>
        <w:tc>
          <w:tcPr>
            <w:tcW w:type="pct" w:w="9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USD 186B</w:t>
            </w:r>
          </w:p>
        </w:tc>
        <w:tc>
          <w:tcPr>
            <w:tcW w:type="pct" w:w="26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Pagos indebidos emitidos por el gobierno federal de EE.UU., año fiscal 2025.</w:t>
            </w:r>
          </w:p>
        </w:tc>
        <w:tc>
          <w:tcPr>
            <w:tcW w:type="pct" w:w="15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Departamento del Tesoro de EE.UU.</w:t>
            </w:r>
          </w:p>
        </w:tc>
      </w:tr>
      <w:tr>
        <w:tc>
          <w:tcPr>
            <w:tcW w:type="pct" w:w="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USD 4B+</w:t>
            </w:r>
          </w:p>
        </w:tc>
        <w:tc>
          <w:tcPr>
            <w:tcW w:type="pct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Prevenido y recuperado mediante detección de fraude con IA/ML, año fiscal 2024.</w:t>
            </w:r>
          </w:p>
        </w:tc>
        <w:tc>
          <w:tcPr>
            <w:tcW w:type="pct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Departamento del Tesoro de EE.UU.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Nota: las cifras marcadas como "reportes del sector" provienen de firmas de ciberseguridad y consultoría, no de una fuente gubernamental única. Se presentan como indicador de tendencia, no como estadística oficial.</w:t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0172A"/>
          <w:sz w:val="32"/>
          <w:szCs w:val="32"/>
        </w:rPr>
        <w:t xml:space="preserve">Marcos oficiales citados</w:t>
      </w:r>
    </w:p>
    <w:tbl>
      <w:tblPr>
        <w:tblW w:type="pct" w:w="5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520"/>
        <w:gridCol w:w="4680"/>
        <w:gridCol w:w="1800"/>
      </w:tblGrid>
      <w:tr>
        <w:trPr>
          <w:tblHeader/>
        </w:trPr>
        <w:tc>
          <w:tcPr>
            <w:tcW w:type="pct" w:w="1400"/>
            <w:shd w:fill="1017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Organización</w:t>
            </w:r>
          </w:p>
        </w:tc>
        <w:tc>
          <w:tcPr>
            <w:tcW w:type="pct" w:w="2600"/>
            <w:shd w:fill="1017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pct" w:w="1000"/>
            <w:shd w:fill="1017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FinCEN (Tesoro de EE.UU.)</w:t>
            </w:r>
          </w:p>
        </w:tc>
        <w:tc>
          <w:tcPr>
            <w:tcW w:type="pct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Alert FIN-2024-Alert004, "Fraud Schemes Involving Deepfake Media"</w:t>
            </w:r>
          </w:p>
        </w:tc>
        <w:tc>
          <w:tcPr>
            <w:tcW w:type="pct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13 nov. 2024</w:t>
            </w:r>
          </w:p>
        </w:tc>
      </w:tr>
      <w:tr>
        <w:tc>
          <w:tcPr>
            <w:tcW w:type="pct" w:w="14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CISA</w:t>
            </w:r>
          </w:p>
        </w:tc>
        <w:tc>
          <w:tcPr>
            <w:tcW w:type="pct" w:w="26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Insider Threat Mitigation Guide</w:t>
            </w:r>
          </w:p>
        </w:tc>
        <w:tc>
          <w:tcPr>
            <w:tcW w:type="pct" w:w="10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Actualización 2026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CISA / NSA + socios internacionales</w:t>
            </w:r>
          </w:p>
        </w:tc>
        <w:tc>
          <w:tcPr>
            <w:tcW w:type="pct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"Careful Adoption of Agentic AI Services"</w:t>
            </w:r>
          </w:p>
        </w:tc>
        <w:tc>
          <w:tcPr>
            <w:tcW w:type="pct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 may. 2026</w:t>
            </w:r>
          </w:p>
        </w:tc>
      </w:tr>
      <w:tr>
        <w:tc>
          <w:tcPr>
            <w:tcW w:type="pct" w:w="14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NIST</w:t>
            </w:r>
          </w:p>
        </w:tc>
        <w:tc>
          <w:tcPr>
            <w:tcW w:type="pct" w:w="26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AI Risk Management Framework + Generative AI Profile (AI 600-1)</w:t>
            </w:r>
          </w:p>
        </w:tc>
        <w:tc>
          <w:tcPr>
            <w:tcW w:type="pct" w:w="10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2023–2026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Departamento del Tesoro de EE.UU.</w:t>
            </w:r>
          </w:p>
        </w:tc>
        <w:tc>
          <w:tcPr>
            <w:tcW w:type="pct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Comunicados sobre detección de fraude con IA/ML y riesgos de ciberseguridad de IA en el sector financiero</w:t>
            </w:r>
          </w:p>
        </w:tc>
        <w:tc>
          <w:tcPr>
            <w:tcW w:type="pct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2024–2026</w:t>
            </w:r>
          </w:p>
        </w:tc>
      </w:tr>
      <w:tr>
        <w:tc>
          <w:tcPr>
            <w:tcW w:type="pct" w:w="14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IRS Criminal Investigation</w:t>
            </w:r>
          </w:p>
        </w:tc>
        <w:tc>
          <w:tcPr>
            <w:tcW w:type="pct" w:w="26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Annual Report, año fiscal 2025</w:t>
            </w:r>
          </w:p>
        </w:tc>
        <w:tc>
          <w:tcPr>
            <w:tcW w:type="pct" w:w="10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2025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OCDE</w:t>
            </w:r>
          </w:p>
        </w:tc>
        <w:tc>
          <w:tcPr>
            <w:tcW w:type="pct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"Governing with Artificial Intelligence in Government"</w:t>
            </w:r>
          </w:p>
        </w:tc>
        <w:tc>
          <w:tcPr>
            <w:tcW w:type="pct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2025</w:t>
            </w:r>
          </w:p>
        </w:tc>
      </w:tr>
      <w:tr>
        <w:tc>
          <w:tcPr>
            <w:tcW w:type="pct" w:w="14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G20</w:t>
            </w:r>
          </w:p>
        </w:tc>
        <w:tc>
          <w:tcPr>
            <w:tcW w:type="pct" w:w="26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Roundtable on Artificial Intelligence in Finance</w:t>
            </w:r>
          </w:p>
        </w:tc>
        <w:tc>
          <w:tcPr>
            <w:tcW w:type="pct" w:w="10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jul. 2025</w:t>
            </w:r>
          </w:p>
        </w:tc>
      </w:tr>
      <w:tr>
        <w:tc>
          <w:tcPr>
            <w:tcW w:type="pct" w:w="1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MITRE ATLAS</w:t>
            </w:r>
          </w:p>
        </w:tc>
        <w:tc>
          <w:tcPr>
            <w:tcW w:type="pct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Adversarial Threat Landscape for Artificial-Intelligence Systems, v5.1.0</w:t>
            </w:r>
          </w:p>
        </w:tc>
        <w:tc>
          <w:tcPr>
            <w:tcW w:type="pct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nov. 2025</w:t>
            </w:r>
          </w:p>
        </w:tc>
      </w:tr>
      <w:tr>
        <w:tc>
          <w:tcPr>
            <w:tcW w:type="pct" w:w="14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OWASP GenAI Security Project</w:t>
            </w:r>
          </w:p>
        </w:tc>
        <w:tc>
          <w:tcPr>
            <w:tcW w:type="pct" w:w="26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Top 10 for Agentic Applications 2026</w:t>
            </w:r>
          </w:p>
        </w:tc>
        <w:tc>
          <w:tcPr>
            <w:tcW w:type="pct" w:w="1000"/>
            <w:shd w:fill="EEF1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dic. 2025</w:t>
            </w:r>
          </w:p>
        </w:tc>
      </w:tr>
    </w:tbl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0172A"/>
          <w:sz w:val="32"/>
          <w:szCs w:val="32"/>
        </w:rPr>
        <w:t xml:space="preserve">Preguntas frecuentes y posibles objeciones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0172A"/>
          <w:sz w:val="22"/>
          <w:szCs w:val="22"/>
        </w:rPr>
        <w:t xml:space="preserve">P: ¿Esto aplica solo a Estados Unidos?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R: No. Los casos y estadísticas citados provienen mayormente de fuentes de EE.UU. porque es donde existe más documentación pública, pero el fenómeno es global — los casos adicionales de Singapur, Europa y otros lo confirman. Además, los marcos de la OCDE y el G20 tienen membresía y participación activa de numerosos países de América Latina.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0172A"/>
          <w:sz w:val="22"/>
          <w:szCs w:val="22"/>
        </w:rPr>
        <w:t xml:space="preserve">P: ¿Necesitamos comprar alguna herramienta de IA o ciberseguridad para protegernos?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R: No como primer paso. Las cuatro recomendaciones de esta sesión son de gobernanza y proceso, no de tecnología — pueden implementarse con los recursos y el presupuesto ya existentes.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0172A"/>
          <w:sz w:val="22"/>
          <w:szCs w:val="22"/>
        </w:rPr>
        <w:t xml:space="preserve">P: ¿Por dónde empezamos si solo podemos hacer una cosa?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R: La Recomendación 1 (verificación fuera de banda para autorizaciones financieras de alto valor) es la de menor costo de implementación y mayor impacto inmediato frente al vector más documentado: el deepfake.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0172A"/>
          <w:sz w:val="22"/>
          <w:szCs w:val="22"/>
        </w:rPr>
        <w:t xml:space="preserve">P: ¿La inteligencia artificial generativa es, en sí misma, el problema?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R: No. La sesión distingue explícitamente entre la tecnología —neutral— y su uso ofensivo. La misma clase de modelos que un atacante puede usar para generar un deepfake, el propio ministerio ya la usa o puede usarla para detectar fraude (ver la diapositiva 18, caso del Tesoro de EE.UU.).</w:t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0172A"/>
          <w:sz w:val="32"/>
          <w:szCs w:val="32"/>
        </w:rPr>
        <w:t xml:space="preserve">Checklist post-sesión — para el equipo organizador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Compartir la presentación y esta guía con todos los asistentes.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Identificar un responsable para revisar el proceso actual de autorización de transferencias de alto valor.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Agendar una revisión (o creación) del programa de amenaza interna, incorporando explícitamente la dimensión de IA.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Realizar un inventario preliminar de herramientas de IA en uso dentro del ministerio, aprobadas y no aprobadas.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Designar un punto de contacto para dar seguimiento a los marcos oficiales citados (CISA, NIST, OCDE).</w:t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0172A"/>
          <w:sz w:val="32"/>
          <w:szCs w:val="32"/>
        </w:rPr>
        <w:t xml:space="preserve">Nota de independencia y alcance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6"/>
      </w:tblGrid>
      <w:tr>
        <w:tc>
          <w:tcPr>
            <w:tcW w:type="pct" w:w="5000"/>
            <w:shd w:fill="E1F0E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27475"/>
                <w:sz w:val="22"/>
                <w:szCs w:val="22"/>
              </w:rPr>
              <w:t xml:space="preserve">Esta sesión y este material fueron desarrollados por RedCiber.org y CERT Académico con fines exclusivamente educativos. No constituyen asesoría legal, técnica ni de cumplimiento normativo, y no promueven, recomiendan ni evalúan productos o proveedores comerciales específicos de inteligencia artificial o ciberseguridad. Las referencias a marcos, guías y organismos oficiales se incluyen únicamente con fines informativos y de orientación; cada institución debe evaluar su aplicabilidad conforme a su propio marco legal y regulatorio.</w:t>
            </w:r>
          </w:p>
        </w:tc>
      </w:tr>
    </w:tbl>
    <w:p>
      <w:pPr>
        <w:spacing w:before="500"/>
      </w:pPr>
      <w:r>
        <w:rPr>
          <w:rFonts w:ascii="Calibri" w:cs="Calibri" w:eastAsia="Calibri" w:hAnsi="Calibri"/>
          <w:b/>
          <w:bCs/>
          <w:color w:val="10172A"/>
          <w:sz w:val="22"/>
          <w:szCs w:val="22"/>
        </w:rPr>
        <w:t xml:space="preserve">RedCiber.org  ×  CERT Académico</w:t>
      </w:r>
    </w:p>
    <w:p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Formación en ciberseguridad e inteligencia artificial para el sector público</w:t>
      </w:r>
    </w:p>
    <w:sectPr>
      <w:footerReference w:type="default" r:id="rId6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5"/>
        <w:szCs w:val="15"/>
      </w:rPr>
      <w:t xml:space="preserve">IA Ofensiva — El nuevo paradigma del Insider en Gobierno · RedCiber.org × CERT Académico · </w:t>
    </w:r>
    <w:r>
      <w:rPr>
        <w:rFonts w:ascii="Calibri" w:cs="Calibri" w:eastAsia="Calibri" w:hAnsi="Calibri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2026-09-30T15:56:46.033Z</dcterms:created>
  <dcterms:modified xsi:type="dcterms:W3CDTF">2026-09-30T15:56:46.034Z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