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DMSans-bold.ttf" ContentType="application/x-font-ttf"/>
  <Override PartName="/word/fonts/DMSans-boldItalic.ttf" ContentType="application/x-font-ttf"/>
  <Override PartName="/word/fonts/DMSans-italic.ttf" ContentType="application/x-font-ttf"/>
  <Override PartName="/word/fonts/DMSans-regular.ttf" ContentType="application/x-font-ttf"/>
  <Override PartName="/word/fonts/DMSansMedium-bold.ttf" ContentType="application/x-font-ttf"/>
  <Override PartName="/word/fonts/DMSansMedium-boldItalic.ttf" ContentType="application/x-font-ttf"/>
  <Override PartName="/word/fonts/DMSansMedium-italic.ttf" ContentType="application/x-font-ttf"/>
  <Override PartName="/word/fonts/DMSansMedium-regular.ttf" ContentType="application/x-font-ttf"/>
  <Override PartName="/word/fonts/RobotoMedium-bold.ttf" ContentType="application/x-font-ttf"/>
  <Override PartName="/word/fonts/RobotoMedium-boldItalic.ttf" ContentType="application/x-font-ttf"/>
  <Override PartName="/word/fonts/RobotoMedium-italic.ttf" ContentType="application/x-font-ttf"/>
  <Override PartName="/word/fonts/RobotoMedium-regular.ttf" ContentType="application/x-font-ttf"/>
  <Override PartName="/word/fonts/Sora-bold.ttf" ContentType="application/x-font-ttf"/>
  <Override PartName="/word/fonts/Sora-regular.ttf" ContentType="application/x-font-ttf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Roboto Medium" w:cs="Roboto Medium" w:eastAsia="Roboto Medium" w:hAnsi="Roboto Medium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0" w:tblpY="0"/>
        <w:tblW w:w="106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840"/>
        <w:gridCol w:w="6840"/>
        <w:tblGridChange w:id="0">
          <w:tblGrid>
            <w:gridCol w:w="3840"/>
            <w:gridCol w:w="6840"/>
          </w:tblGrid>
        </w:tblGridChange>
      </w:tblGrid>
      <w:tr>
        <w:trPr>
          <w:cantSplit w:val="0"/>
          <w:trHeight w:val="867.48" w:hRule="atLeast"/>
          <w:tblHeader w:val="0"/>
        </w:trPr>
        <w:tc>
          <w:tcPr>
            <w:gridSpan w:val="2"/>
            <w:tcBorders>
              <w:top w:color="d9d9d9" w:space="0" w:sz="18" w:val="single"/>
              <w:left w:color="d9d9d9" w:space="0" w:sz="18" w:val="single"/>
              <w:bottom w:color="d9d9d9" w:space="0" w:sz="8" w:val="single"/>
              <w:right w:color="d9d9d9" w:space="0" w:sz="8" w:val="single"/>
            </w:tcBorders>
            <w:tcMar>
              <w:top w:w="144.0" w:type="dxa"/>
              <w:left w:w="144.0" w:type="dxa"/>
              <w:bottom w:w="144.0" w:type="dxa"/>
              <w:right w:w="144.0" w:type="dxa"/>
            </w:tcMar>
          </w:tcPr>
          <w:p w:rsidR="00000000" w:rsidDel="00000000" w:rsidP="00000000" w:rsidRDefault="00000000" w:rsidRPr="00000000" w14:paraId="00000002">
            <w:pPr>
              <w:spacing w:before="120" w:line="240" w:lineRule="auto"/>
              <w:rPr>
                <w:rFonts w:ascii="DM Sans" w:cs="DM Sans" w:eastAsia="DM Sans" w:hAnsi="DM Sans"/>
                <w:color w:val="0d0d0d"/>
                <w:sz w:val="24"/>
                <w:szCs w:val="24"/>
              </w:rPr>
            </w:pPr>
            <w:r w:rsidDel="00000000" w:rsidR="00000000" w:rsidRPr="00000000">
              <w:rPr>
                <w:rFonts w:ascii="DM Sans" w:cs="DM Sans" w:eastAsia="DM Sans" w:hAnsi="DM Sans"/>
                <w:color w:val="0d0d0d"/>
                <w:sz w:val="24"/>
                <w:szCs w:val="24"/>
                <w:rtl w:val="0"/>
              </w:rPr>
              <w:t xml:space="preserve">P-01. Ownable-Integrity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vAlign w:val="center"/>
            <w:shd w:val="clear" w:color="auto" w:fill="f5cbcb"/>
            <w:tcBorders>
              <w:top w:val="single" w:sz="18" w:color="d9d9d9"/>
              <w:left w:val="single" w:sz="18" w:color="d9d9d9"/>
              <w:bottom w:val="single" w:sz="8" w:color="d9d9d9"/>
              <w:right w:val="single" w:sz="8" w:color="d9d9d9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 w:rsidR="00000000" w:rsidDel="00000000" w:rsidP="00000000" w:rsidRDefault="00000000" w:rsidRPr="00000000" w14:paraId="00000004">
            <w:pPr>
              <w:spacing w:line="240" w:lineRule="auto"/>
              <w:rPr>
                <w:rFonts w:ascii="DM Sans" w:cs="DM Sans" w:eastAsia="DM Sans" w:hAnsi="DM Sans"/>
                <w:b w:val="1"/>
                <w:bCs w:val="1"/>
                <w:color w:val="0d0d0d"/>
                <w:sz w:val="20"/>
                <w:szCs w:val="20"/>
              </w:rPr>
            </w:pPr>
            <w:r>
              <w:rPr>
                <w:rFonts w:ascii="DM Sans" w:hAnsi="DM Sans"/>
                <w:sz w:val="20"/>
              </w:rPr>
              <w:t>Status: Violated</w:t>
            </w:r>
          </w:p>
        </w:tc>
        <w:tc>
          <w:tcPr>
            <w:vAlign w:val="center"/>
            <w:shd w:val="clear" w:color="auto" w:fill="f5cbcb"/>
            <w:tcBorders>
              <w:top w:val="single" w:sz="18" w:color="d9d9d9"/>
              <w:left w:val="single" w:sz="18" w:color="d9d9d9"/>
              <w:bottom w:val="single" w:sz="8" w:color="d9d9d9"/>
              <w:right w:val="single" w:sz="8" w:color="d9d9d9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 w:rsidR="00000000" w:rsidDel="00000000" w:rsidP="00000000" w:rsidRDefault="00000000" w:rsidRPr="00000000" w14:paraId="00000005">
            <w:pPr>
              <w:spacing w:line="240" w:lineRule="auto"/>
              <w:rPr>
                <w:rFonts w:ascii="DM Sans" w:cs="DM Sans" w:eastAsia="DM Sans" w:hAnsi="DM Sans"/>
                <w:color w:val="0d0d0d"/>
                <w:sz w:val="20"/>
                <w:szCs w:val="20"/>
              </w:rPr>
            </w:pPr>
            <w:r>
              <w:rPr>
                <w:rFonts w:ascii="DM Sans" w:hAnsi="DM Sans"/>
                <w:b/>
                <w:sz w:val="20"/>
              </w:rPr>
              <w:t>RWA token functions change state as expected.</w:t>
            </w:r>
          </w:p>
        </w:tc>
      </w:tr>
    </w:tbl>
    <w:p w:rsidR="00000000" w:rsidDel="00000000" w:rsidP="00000000" w:rsidRDefault="00000000" w:rsidRPr="00000000" w14:paraId="00000006">
      <w:pPr>
        <w:widowControl w:val="0"/>
        <w:spacing w:line="14.399999999999999" w:lineRule="auto"/>
        <w:rPr>
          <w:rFonts w:ascii="DM Sans" w:cs="DM Sans" w:eastAsia="DM Sans" w:hAnsi="DM Sans"/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spacing w:line="14.399999999999999" w:lineRule="auto"/>
        <w:rPr>
          <w:rFonts w:ascii="DM Sans" w:cs="DM Sans" w:eastAsia="DM Sans" w:hAnsi="DM Sans"/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text" w:horzAnchor="text" w:tblpX="0" w:tblpY="0"/>
        <w:tblW w:w="10695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1950"/>
        <w:gridCol w:w="1920"/>
        <w:gridCol w:w="4620"/>
        <w:gridCol w:w="2205"/>
        <w:tblGridChange w:id="0">
          <w:tblGrid>
            <w:gridCol w:w="1950"/>
            <w:gridCol w:w="1920"/>
            <w:gridCol w:w="2340"/>
            <w:gridCol w:w="2280"/>
            <w:gridCol w:w="2205"/>
          </w:tblGrid>
        </w:tblGridChange>
      </w:tblGrid>
      <w:tr>
        <w:trPr>
          <w:cantSplit w:val="0"/>
          <w:trHeight w:val="630" w:hRule="atLeast"/>
          <w:tblHeader w:val="0"/>
        </w:trPr>
        <w:tc>
          <w:tcPr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rFonts w:ascii="DM Sans Medium" w:cs="DM Sans Medium" w:eastAsia="DM Sans Medium" w:hAnsi="DM Sans Medium"/>
                <w:color w:val="999999"/>
                <w:sz w:val="20"/>
                <w:szCs w:val="20"/>
              </w:rPr>
            </w:pPr>
            <w:r>
              <w:rPr>
                <w:rFonts w:ascii="DM Sans Medium" w:hAnsi="DM Sans Medium"/>
                <w:sz w:val="20"/>
                <w:color w:val="999999"/>
              </w:rPr>
              <w:t>Rule Name</w:t>
            </w:r>
          </w:p>
        </w:tc>
        <w:tc>
          <w:tcPr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rFonts w:ascii="DM Sans Medium" w:cs="DM Sans Medium" w:eastAsia="DM Sans Medium" w:hAnsi="DM Sans Medium"/>
                <w:color w:val="999999"/>
                <w:sz w:val="20"/>
                <w:szCs w:val="20"/>
              </w:rPr>
            </w:pPr>
            <w:r>
              <w:rPr>
                <w:rFonts w:ascii="DM Sans Medium" w:hAnsi="DM Sans Medium"/>
                <w:sz w:val="20"/>
                <w:color w:val="999999"/>
              </w:rPr>
              <w:t>Status</w:t>
            </w:r>
          </w:p>
        </w:tc>
        <w:tc>
          <w:tcPr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DM Sans Medium" w:cs="DM Sans Medium" w:eastAsia="DM Sans Medium" w:hAnsi="DM Sans Medium"/>
                <w:color w:val="999999"/>
                <w:sz w:val="24"/>
                <w:szCs w:val="24"/>
              </w:rPr>
            </w:pPr>
            <w:r>
              <w:rPr>
                <w:rFonts w:ascii="DM Sans Medium" w:hAnsi="DM Sans Medium"/>
                <w:sz w:val="20"/>
                <w:color w:val="999999"/>
              </w:rPr>
              <w:t>Description</w:t>
            </w:r>
          </w:p>
        </w:tc>
        <w:tc>
          <w:tcPr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 Medium" w:hAnsi="DM Sans Medium"/>
                <w:sz w:val="20"/>
                <w:color w:val="999999"/>
              </w:rPr>
              <w:t>Link to rule report</w:t>
            </w:r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rwa_forced_transfer_integrity_1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forced_transfer changes balance of from appropriately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3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rwa_forced_transfer_integrity_2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forced_transfer changes balance of to appropriately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4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rwa_forced_transfer_integrity_3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forced_transfer does not change total supply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3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rwa_mint_integrity_1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mint increases balance of to appropriately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3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rwa_mint_integrity_2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mint increases total supply by amount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3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rwa_burn_integrity_1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burn decreases balance of user appropriately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3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rwa_set_address_frozen_integrity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set_address_frozen sets the frozen status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3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rwa_freeze_partial_tokens_integrity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freeze_partial_tokens increase the frozen token amount for a user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3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rwa_unfreeze_partial_tokens_integrity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unfreeze_partial_tokens decrease the frozen token amount for a user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3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rwa_set_compliance_integrity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set_compliance sets the compliance contract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3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rwa_set_identity_verifier_integrity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set_identity_verifier sets the identity verifier contract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3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rwa_transfer_integrity_1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transfer changes balance of from appropriately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5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rwa_transfer_integrity_2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transfer changes balance of to appropriately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3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rwa_transfer_integrity_3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transfer does not change total supply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3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rwa_transfer_from_integrity_1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transfer_from does not change total supply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3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rwa_transfer_from_integrity_2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transfer_from changes the balance of from accordingly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3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rwa_transfer_from_integrity_4</w:t>
            </w:r>
          </w:p>
        </w:tc>
        <w:tc>
          <w:tcPr>
            <w:tcW w:type="dxa" w:w="1920"/>
            <w:shd w:val="clear" w:color="auto" w:fill="f5cbcb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Violated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transfer_from changes allowance accordingly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3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rwa_approve_integrity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approve changes allowance accordingly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3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rwa_recover_balance_integrity_1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output of recover_balance equals balance &gt; 0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6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rwa_recover_balance_integrity_2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after recover_balance the old account has no balance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6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rwa_recover_balance_integrity_3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after recover_balance the new account has the balance of the old account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6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rwa_recover_balance_integrity_4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after recover_balance the new account has the frozen tokens of the old account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6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rwa_recover_balance_integrity_5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after recover_balance the new account has the frozen status of the old account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6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</w:tbl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sectPr>
      <w:headerReference r:id="rId12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DM Sans Medium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edium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Sora">
    <w:embedRegular w:fontKey="{00000000-0000-0000-0000-000000000000}" r:id="rId9" w:subsetted="0"/>
    <w:embedBold w:fontKey="{00000000-0000-0000-0000-000000000000}" r:id="rId10" w:subsetted="0"/>
  </w:font>
  <w:font w:name="DM Sans">
    <w:embedRegular w:fontKey="{00000000-0000-0000-0000-000000000000}" r:id="rId11" w:subsetted="0"/>
    <w:embedBold w:fontKey="{00000000-0000-0000-0000-000000000000}" r:id="rId12" w:subsetted="0"/>
    <w:embedItalic w:fontKey="{00000000-0000-0000-0000-000000000000}" r:id="rId13" w:subsetted="0"/>
    <w:embedBoldItalic w:fontKey="{00000000-0000-0000-0000-000000000000}" r:id="rId1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A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hyperlink" Target="https://prover.certora.com/output/40748/e9359957e70440219848777039fac90d/?anonymousKey=0f575c24b69229247269a06a9497c6f649dc70d5" TargetMode="External"/><Relationship Id="rId10" Type="http://schemas.openxmlformats.org/officeDocument/2006/relationships/hyperlink" Target="https://prover.certora.com/output/40748/e9359957e70440219848777039fac90d/?anonymousKey=0f575c24b69229247269a06a9497c6f649dc70d5" TargetMode="External"/><Relationship Id="rId12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prover.certora.com/output/40748/e9359957e70440219848777039fac90d/?anonymousKey=0f575c24b69229247269a06a9497c6f649dc70d5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prover.certora.com/output/40748/e9359957e70440219848777039fac90d/?anonymousKey=0f575c24b69229247269a06a9497c6f649dc70d5" TargetMode="External"/><Relationship Id="rId8" Type="http://schemas.openxmlformats.org/officeDocument/2006/relationships/hyperlink" Target="https://prover.certora.com/output/40748/e9359957e70440219848777039fac90d/?anonymousKey=0f575c24b69229247269a06a9497c6f649dc70d5" TargetMode="External"/><Relationship Id="rId13" Type="http://schemas.openxmlformats.org/wordprocessingml/2006/relationships/hyperlink" Target="https://prover.certora.com/output/5771024/78c6f1f1739d477aabba15e5d0ca1078/?anonymousKey=0cba45c7cbe5989417eff1ae2b222cb6e9cbbe13" TargetMode="External"/><Relationship Id="rId14" Type="http://schemas.openxmlformats.org/wordprocessingml/2006/relationships/hyperlink" Target="https://prover.certora.com/output/5771024/9cb62ab307ec4a949a07c205addd986c/?anonymousKey=f65eb0d9bb08f0138a69f41d45f076bcd6f6e549" TargetMode="External"/><Relationship Id="rId15" Type="http://schemas.openxmlformats.org/wordprocessingml/2006/relationships/hyperlink" Target="https://prover.certora.com/output/5771024/2454c39057c24b75a1c7545e553bb052/?anonymousKey=4f4658c8129ab14e27129bfd717bcd1375f7ab1c" TargetMode="External"/><Relationship Id="rId16" Type="http://schemas.openxmlformats.org/wordprocessingml/2006/relationships/hyperlink" Target="https://prover.certora.com/output/40748/3e86f455d5254df39dfa384ee42f9003/?anonymousKey=470ad8abd35fa76ed223cf49f5315459f96be72d" TargetMode="External"/></Relationships>
</file>

<file path=word/_rels/fontTable.xml.rels><?xml version='1.0' encoding='UTF-8' standalone='yes'?>
<Relationships xmlns="http://schemas.openxmlformats.org/package/2006/relationships"><Relationship Id="rId11" Type="http://schemas.openxmlformats.org/officeDocument/2006/relationships/font" Target="fonts/DMSans-regular.ttf"/><Relationship Id="rId10" Type="http://schemas.openxmlformats.org/officeDocument/2006/relationships/font" Target="fonts/Sora-bold.ttf"/><Relationship Id="rId13" Type="http://schemas.openxmlformats.org/officeDocument/2006/relationships/font" Target="fonts/DMSans-italic.ttf"/><Relationship Id="rId12" Type="http://schemas.openxmlformats.org/officeDocument/2006/relationships/font" Target="fonts/DMSans-bold.ttf"/><Relationship Id="rId1" Type="http://schemas.openxmlformats.org/officeDocument/2006/relationships/font" Target="fonts/DMSansMedium-regular.ttf"/><Relationship Id="rId2" Type="http://schemas.openxmlformats.org/officeDocument/2006/relationships/font" Target="fonts/DMSansMedium-bold.ttf"/><Relationship Id="rId3" Type="http://schemas.openxmlformats.org/officeDocument/2006/relationships/font" Target="fonts/DMSansMedium-italic.ttf"/><Relationship Id="rId4" Type="http://schemas.openxmlformats.org/officeDocument/2006/relationships/font" Target="fonts/DMSansMedium-boldItalic.ttf"/><Relationship Id="rId9" Type="http://schemas.openxmlformats.org/officeDocument/2006/relationships/font" Target="fonts/Sora-regular.ttf"/><Relationship Id="rId14" Type="http://schemas.openxmlformats.org/officeDocument/2006/relationships/font" Target="fonts/DMSans-boldItalic.ttf"/><Relationship Id="rId5" Type="http://schemas.openxmlformats.org/officeDocument/2006/relationships/font" Target="fonts/RobotoMedium-regular.ttf"/><Relationship Id="rId6" Type="http://schemas.openxmlformats.org/officeDocument/2006/relationships/font" Target="fonts/RobotoMedium-bold.ttf"/><Relationship Id="rId7" Type="http://schemas.openxmlformats.org/officeDocument/2006/relationships/font" Target="fonts/RobotoMedium-italic.ttf"/><Relationship Id="rId8" Type="http://schemas.openxmlformats.org/officeDocument/2006/relationships/font" Target="fonts/RobotoMedium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rT0uHgKHbFlpzBt83oYIFpzr4wA==">CgMxLjA4AHIhMTZoYzlpYWpfWldTQXoyWnNJdVBsMklxUUhuUHZEb1N1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