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EDF" w:rsidRDefault="00376EDF" w:rsidP="00376EDF">
      <w:pPr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Appendix B: </w:t>
      </w:r>
      <w:r w:rsidRPr="00736963">
        <w:rPr>
          <w:rFonts w:ascii="Arial" w:hAnsi="Arial" w:cs="Arial"/>
          <w:b/>
          <w:noProof/>
          <w:sz w:val="24"/>
          <w:szCs w:val="24"/>
        </w:rPr>
        <w:t>Comparison with results from</w:t>
      </w:r>
      <w:r>
        <w:rPr>
          <w:rFonts w:ascii="Arial" w:hAnsi="Arial" w:cs="Arial"/>
          <w:b/>
          <w:noProof/>
          <w:sz w:val="24"/>
          <w:szCs w:val="24"/>
        </w:rPr>
        <w:t xml:space="preserve"> Steinhauser </w:t>
      </w:r>
      <w:r w:rsidRPr="00B9236D">
        <w:rPr>
          <w:rFonts w:ascii="Arial" w:hAnsi="Arial" w:cs="Arial"/>
          <w:b/>
          <w:i/>
          <w:noProof/>
          <w:sz w:val="24"/>
          <w:szCs w:val="24"/>
        </w:rPr>
        <w:t>et al</w:t>
      </w:r>
      <w:r>
        <w:rPr>
          <w:rFonts w:ascii="Arial" w:hAnsi="Arial" w:cs="Arial"/>
          <w:b/>
          <w:noProof/>
          <w:sz w:val="24"/>
          <w:szCs w:val="24"/>
        </w:rPr>
        <w:t xml:space="preserve"> model</w:t>
      </w:r>
    </w:p>
    <w:p w:rsidR="00376EDF" w:rsidRDefault="00376EDF" w:rsidP="00376EDF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sz w:val="24"/>
          <w:szCs w:val="24"/>
        </w:rPr>
        <w:t xml:space="preserve">For each of the two case study data sets in the paper, we compare results from our ‘Model 3’ with results from fitting the model proposed by Steinhauser </w:t>
      </w:r>
      <w:r w:rsidRPr="00F0540A">
        <w:rPr>
          <w:rFonts w:ascii="Arial" w:hAnsi="Arial" w:cs="Arial"/>
          <w:i/>
          <w:noProof/>
          <w:sz w:val="24"/>
          <w:szCs w:val="24"/>
        </w:rPr>
        <w:t>et al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ADDIN EN.CITE &lt;EndNote&gt;&lt;Cite&gt;&lt;Author&gt;Steinhauser&lt;/Author&gt;&lt;Year&gt;2016&lt;/Year&gt;&lt;RecNum&gt;10&lt;/RecNum&gt;&lt;DisplayText&gt;(1)&lt;/DisplayText&gt;&lt;record&gt;&lt;rec-number&gt;10&lt;/rec-number&gt;&lt;foreign-keys&gt;&lt;key app="EN" db-id="rrw2w5ddx0sfaaesaftxwd5cx02a020r2w9v" timestamp="1479809907"&gt;10&lt;/key&gt;&lt;/foreign-keys&gt;&lt;ref-type name="Journal Article"&gt;17&lt;/ref-type&gt;&lt;contributors&gt;&lt;authors&gt;&lt;author&gt;Steinhauser, S.&lt;/author&gt;&lt;author&gt;Schumacher, M.&lt;/author&gt;&lt;author&gt;Rucker, G.&lt;/author&gt;&lt;/authors&gt;&lt;/contributors&gt;&lt;auth-address&gt;Institute for Medical Biometry and Statistics, Faculty of Medicine and Medical Center - University of Freiburg, Freiburg, Stefan-Meier-Strasse 2679104, Germany.&amp;#xD;Institute of Medical Statistics, Informatics and Epidemiology, University of Cologne, Cologne, Kerpener Str. 6250937, Germany.&amp;#xD;Institute for Medical Biometry and Statistics, Faculty of Medicine and Medical Center - University of Freiburg, Freiburg, Stefan-Meier-Strasse 2679104, Germany. ruecker@imbi.uni-freiburg.de.&lt;/auth-address&gt;&lt;titles&gt;&lt;title&gt;Modelling multiple thresholds in meta-analysis of diagnostic test accuracy studies&lt;/title&gt;&lt;secondary-title&gt;BMC Med Res Methodol&lt;/secondary-title&gt;&lt;/titles&gt;&lt;periodical&gt;&lt;full-title&gt;BMC Med Res Methodol&lt;/full-title&gt;&lt;/periodical&gt;&lt;pages&gt;97&lt;/pages&gt;&lt;volume&gt;16&lt;/volume&gt;&lt;number&gt;1&lt;/number&gt;&lt;keywords&gt;&lt;keyword&gt;Biomarker&lt;/keyword&gt;&lt;keyword&gt;Diagnostic accuracy study&lt;/keyword&gt;&lt;keyword&gt;Meta-analysis&lt;/keyword&gt;&lt;keyword&gt;ROC curve&lt;/keyword&gt;&lt;keyword&gt;Threshold&lt;/keyword&gt;&lt;/keywords&gt;&lt;dates&gt;&lt;year&gt;2016&lt;/year&gt;&lt;pub-dates&gt;&lt;date&gt;Aug 12&lt;/date&gt;&lt;/pub-dates&gt;&lt;/dates&gt;&lt;isbn&gt;1471-2288 (Electronic)&amp;#xD;1471-2288 (Linking)&lt;/isbn&gt;&lt;accession-num&gt;27520527&lt;/accession-num&gt;&lt;urls&gt;&lt;related-urls&gt;&lt;url&gt;https://www.ncbi.nlm.nih.gov/pubmed/27520527&lt;/url&gt;&lt;/related-urls&gt;&lt;/urls&gt;&lt;custom2&gt;PMC4983029&lt;/custom2&gt;&lt;electronic-resource-num&gt;10.1186/s12874-016-0196-1&lt;/electronic-resource-num&gt;&lt;/record&gt;&lt;/Cite&gt;&lt;/EndNote&gt;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(1)</w:t>
      </w: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t>. The latter was fitted using the R package ‘diagmeta’ (</w:t>
      </w:r>
      <w:hyperlink r:id="rId4" w:history="1">
        <w:r w:rsidRPr="000803FC">
          <w:rPr>
            <w:rStyle w:val="HTMLSample"/>
            <w:rFonts w:ascii="Arial" w:eastAsiaTheme="minorHAnsi" w:hAnsi="Arial" w:cs="Arial"/>
            <w:color w:val="0000FF"/>
            <w:sz w:val="24"/>
            <w:szCs w:val="24"/>
            <w:u w:val="single"/>
            <w:shd w:val="clear" w:color="auto" w:fill="FFFFFF"/>
          </w:rPr>
          <w:t>https://CRAN.R-project.org/package=diagmeta</w:t>
        </w:r>
      </w:hyperlink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). In keeping with our Models 1-3, we assumed that test results in the diseased and disease-free populations had a log-logistic distribution in each study.</w:t>
      </w:r>
    </w:p>
    <w:p w:rsidR="00376EDF" w:rsidRDefault="00376EDF" w:rsidP="00376EDF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In addition to the most general version of their model, ‘DIDS’ (linear mixed effects model with </w:t>
      </w:r>
      <w:r w:rsidRPr="008738E9">
        <w:rPr>
          <w:rFonts w:ascii="Arial" w:hAnsi="Arial" w:cs="Arial"/>
          <w:i/>
          <w:color w:val="000000"/>
          <w:sz w:val="24"/>
          <w:szCs w:val="24"/>
          <w:shd w:val="clear" w:color="auto" w:fill="FFFFFF"/>
        </w:rPr>
        <w:t>different random intercepts and different random slopes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), </w:t>
      </w:r>
      <w:r>
        <w:rPr>
          <w:rFonts w:ascii="Arial" w:hAnsi="Arial" w:cs="Arial"/>
          <w:noProof/>
          <w:sz w:val="24"/>
          <w:szCs w:val="24"/>
        </w:rPr>
        <w:t xml:space="preserve">Steinhauser </w:t>
      </w:r>
      <w:r w:rsidRPr="00F0540A">
        <w:rPr>
          <w:rFonts w:ascii="Arial" w:hAnsi="Arial" w:cs="Arial"/>
          <w:i/>
          <w:noProof/>
          <w:sz w:val="24"/>
          <w:szCs w:val="24"/>
        </w:rPr>
        <w:t>et al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propose a number of reduced versions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ADDIN EN.CITE &lt;EndNote&gt;&lt;Cite&gt;&lt;Author&gt;Steinhauser&lt;/Author&gt;&lt;Year&gt;2016&lt;/Year&gt;&lt;RecNum&gt;10&lt;/RecNum&gt;&lt;DisplayText&gt;(1)&lt;/DisplayText&gt;&lt;record&gt;&lt;rec-number&gt;10&lt;/rec-number&gt;&lt;foreign-keys&gt;&lt;key app="EN" db-id="rrw2w5ddx0sfaaesaftxwd5cx02a020r2w9v" timestamp="1479809907"&gt;10&lt;/key&gt;&lt;/foreign-keys&gt;&lt;ref-type name="Journal Article"&gt;17&lt;/ref-type&gt;&lt;contributors&gt;&lt;authors&gt;&lt;author&gt;Steinhauser, S.&lt;/author&gt;&lt;author&gt;Schumacher, M.&lt;/author&gt;&lt;author&gt;Rucker, G.&lt;/author&gt;&lt;/authors&gt;&lt;/contributors&gt;&lt;auth-address&gt;Institute for Medical Biometry and Statistics, Faculty of Medicine and Medical Center - University of Freiburg, Freiburg, Stefan-Meier-Strasse 2679104, Germany.&amp;#xD;Institute of Medical Statistics, Informatics and Epidemiology, University of Cologne, Cologne, Kerpener Str. 6250937, Germany.&amp;#xD;Institute for Medical Biometry and Statistics, Faculty of Medicine and Medical Center - University of Freiburg, Freiburg, Stefan-Meier-Strasse 2679104, Germany. ruecker@imbi.uni-freiburg.de.&lt;/auth-address&gt;&lt;titles&gt;&lt;title&gt;Modelling multiple thresholds in meta-analysis of diagnostic test accuracy studies&lt;/title&gt;&lt;secondary-title&gt;BMC Med Res Methodol&lt;/secondary-title&gt;&lt;/titles&gt;&lt;periodical&gt;&lt;full-title&gt;BMC Med Res Methodol&lt;/full-title&gt;&lt;/periodical&gt;&lt;pages&gt;97&lt;/pages&gt;&lt;volume&gt;16&lt;/volume&gt;&lt;number&gt;1&lt;/number&gt;&lt;keywords&gt;&lt;keyword&gt;Biomarker&lt;/keyword&gt;&lt;keyword&gt;Diagnostic accuracy study&lt;/keyword&gt;&lt;keyword&gt;Meta-analysis&lt;/keyword&gt;&lt;keyword&gt;ROC curve&lt;/keyword&gt;&lt;keyword&gt;Threshold&lt;/keyword&gt;&lt;/keywords&gt;&lt;dates&gt;&lt;year&gt;2016&lt;/year&gt;&lt;pub-dates&gt;&lt;date&gt;Aug 12&lt;/date&gt;&lt;/pub-dates&gt;&lt;/dates&gt;&lt;isbn&gt;1471-2288 (Electronic)&amp;#xD;1471-2288 (Linking)&lt;/isbn&gt;&lt;accession-num&gt;27520527&lt;/accession-num&gt;&lt;urls&gt;&lt;related-urls&gt;&lt;url&gt;https://www.ncbi.nlm.nih.gov/pubmed/27520527&lt;/url&gt;&lt;/related-urls&gt;&lt;/urls&gt;&lt;custom2&gt;PMC4983029&lt;/custom2&gt;&lt;electronic-resource-num&gt;10.1186/s12874-016-0196-1&lt;/electronic-resource-num&gt;&lt;/record&gt;&lt;/Cite&gt;&lt;/EndNote&gt;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(1)</w:t>
      </w:r>
      <w:r>
        <w:rPr>
          <w:rFonts w:ascii="Arial" w:hAnsi="Arial" w:cs="Arial"/>
          <w:sz w:val="24"/>
          <w:szCs w:val="24"/>
        </w:rPr>
        <w:fldChar w:fldCharType="end"/>
      </w:r>
      <w:r>
        <w:rPr>
          <w:rFonts w:ascii="Arial" w:hAnsi="Arial" w:cs="Arial"/>
          <w:sz w:val="24"/>
          <w:szCs w:val="24"/>
        </w:rPr>
        <w:t>. We followed</w:t>
      </w:r>
      <w:r w:rsidRPr="00A83304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 xml:space="preserve">Steinhauser </w:t>
      </w:r>
      <w:r w:rsidRPr="00F0540A">
        <w:rPr>
          <w:rFonts w:ascii="Arial" w:hAnsi="Arial" w:cs="Arial"/>
          <w:i/>
          <w:noProof/>
          <w:sz w:val="24"/>
          <w:szCs w:val="24"/>
        </w:rPr>
        <w:t>et al</w:t>
      </w:r>
      <w:r>
        <w:rPr>
          <w:rFonts w:ascii="Arial" w:hAnsi="Arial" w:cs="Arial"/>
          <w:i/>
          <w:noProof/>
          <w:sz w:val="24"/>
          <w:szCs w:val="24"/>
        </w:rPr>
        <w:t xml:space="preserve"> </w:t>
      </w:r>
      <w:r w:rsidRPr="00A83304">
        <w:rPr>
          <w:rFonts w:ascii="Arial" w:hAnsi="Arial" w:cs="Arial"/>
          <w:noProof/>
          <w:sz w:val="24"/>
          <w:szCs w:val="24"/>
        </w:rPr>
        <w:t xml:space="preserve">in </w:t>
      </w:r>
      <w:r>
        <w:rPr>
          <w:rFonts w:ascii="Arial" w:hAnsi="Arial" w:cs="Arial"/>
          <w:noProof/>
          <w:sz w:val="24"/>
          <w:szCs w:val="24"/>
        </w:rPr>
        <w:t xml:space="preserve">selecting the variation of the model with the smallest REML criterion. For both data sets, this was the full ‘DIDS’ model. </w:t>
      </w:r>
    </w:p>
    <w:p w:rsidR="00376EDF" w:rsidRDefault="00376EDF" w:rsidP="00376EDF">
      <w:pPr>
        <w:rPr>
          <w:rFonts w:ascii="Arial" w:hAnsi="Arial" w:cs="Arial"/>
          <w:sz w:val="24"/>
          <w:szCs w:val="24"/>
        </w:rPr>
      </w:pPr>
    </w:p>
    <w:p w:rsidR="00376EDF" w:rsidRDefault="00376EDF" w:rsidP="00376EDF">
      <w:pPr>
        <w:spacing w:afterLines="80" w:after="192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C1922">
        <w:rPr>
          <w:rFonts w:ascii="Arial" w:hAnsi="Arial" w:cs="Arial"/>
          <w:b/>
          <w:i/>
          <w:sz w:val="24"/>
          <w:szCs w:val="24"/>
        </w:rPr>
        <w:t>Example 1:</w:t>
      </w:r>
      <w:r w:rsidRPr="001C1922">
        <w:rPr>
          <w:rFonts w:ascii="Arial" w:hAnsi="Arial" w:cs="Arial"/>
          <w:b/>
          <w:sz w:val="24"/>
          <w:szCs w:val="24"/>
        </w:rPr>
        <w:t xml:space="preserve"> </w:t>
      </w:r>
      <w:r w:rsidRPr="001C1922">
        <w:rPr>
          <w:rFonts w:ascii="Arial" w:hAnsi="Arial" w:cs="Arial"/>
          <w:b/>
          <w:sz w:val="24"/>
          <w:szCs w:val="24"/>
          <w:lang w:val="en-US"/>
        </w:rPr>
        <w:t>B type natriuretic peptide for diagnosis of acute heart failure</w:t>
      </w:r>
    </w:p>
    <w:p w:rsidR="00376EDF" w:rsidRDefault="00376EDF" w:rsidP="00376EDF">
      <w:pPr>
        <w:spacing w:afterLines="80" w:after="192" w:line="36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DBD004B" wp14:editId="76C0ECF9">
            <wp:extent cx="5731510" cy="2547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EDF" w:rsidRDefault="00376EDF" w:rsidP="00376EDF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Figure: </w:t>
      </w:r>
      <w:r w:rsidRPr="00661DA9">
        <w:rPr>
          <w:rFonts w:ascii="Arial" w:hAnsi="Arial" w:cs="Arial"/>
          <w:b/>
          <w:i/>
          <w:sz w:val="24"/>
          <w:szCs w:val="24"/>
        </w:rPr>
        <w:t>Summary t</w:t>
      </w:r>
      <w:r>
        <w:rPr>
          <w:rFonts w:ascii="Arial" w:hAnsi="Arial" w:cs="Arial"/>
          <w:b/>
          <w:i/>
          <w:sz w:val="24"/>
          <w:szCs w:val="24"/>
        </w:rPr>
        <w:t>rue positive rate (t</w:t>
      </w:r>
      <w:r w:rsidRPr="00661DA9">
        <w:rPr>
          <w:rFonts w:ascii="Arial" w:hAnsi="Arial" w:cs="Arial"/>
          <w:b/>
          <w:i/>
          <w:sz w:val="24"/>
          <w:szCs w:val="24"/>
        </w:rPr>
        <w:t>pr</w:t>
      </w:r>
      <w:r>
        <w:rPr>
          <w:rFonts w:ascii="Arial" w:hAnsi="Arial" w:cs="Arial"/>
          <w:b/>
          <w:i/>
          <w:sz w:val="24"/>
          <w:szCs w:val="24"/>
        </w:rPr>
        <w:t>)</w:t>
      </w:r>
      <w:r w:rsidRPr="00661DA9">
        <w:rPr>
          <w:rFonts w:ascii="Arial" w:hAnsi="Arial" w:cs="Arial"/>
          <w:b/>
          <w:i/>
          <w:sz w:val="24"/>
          <w:szCs w:val="24"/>
        </w:rPr>
        <w:t xml:space="preserve"> and f</w:t>
      </w:r>
      <w:r>
        <w:rPr>
          <w:rFonts w:ascii="Arial" w:hAnsi="Arial" w:cs="Arial"/>
          <w:b/>
          <w:i/>
          <w:sz w:val="24"/>
          <w:szCs w:val="24"/>
        </w:rPr>
        <w:t>alse positive rate (f</w:t>
      </w:r>
      <w:r w:rsidRPr="00661DA9">
        <w:rPr>
          <w:rFonts w:ascii="Arial" w:hAnsi="Arial" w:cs="Arial"/>
          <w:b/>
          <w:i/>
          <w:sz w:val="24"/>
          <w:szCs w:val="24"/>
        </w:rPr>
        <w:t>pr</w:t>
      </w:r>
      <w:r>
        <w:rPr>
          <w:rFonts w:ascii="Arial" w:hAnsi="Arial" w:cs="Arial"/>
          <w:b/>
          <w:i/>
          <w:sz w:val="24"/>
          <w:szCs w:val="24"/>
        </w:rPr>
        <w:t>)</w:t>
      </w:r>
      <w:r w:rsidRPr="00661DA9">
        <w:rPr>
          <w:rFonts w:ascii="Arial" w:hAnsi="Arial" w:cs="Arial"/>
          <w:b/>
          <w:i/>
          <w:sz w:val="24"/>
          <w:szCs w:val="24"/>
        </w:rPr>
        <w:t xml:space="preserve"> estimates from Model 3 (with 95% credible intervals) compared with estimates from the Steinhauser et al ‘DIDS’ model, fitted in diagmeta (with 95% confidence intervals).</w:t>
      </w:r>
    </w:p>
    <w:p w:rsidR="00376EDF" w:rsidRPr="00661DA9" w:rsidRDefault="00376EDF" w:rsidP="00376EDF">
      <w:pPr>
        <w:rPr>
          <w:rFonts w:ascii="Arial" w:hAnsi="Arial" w:cs="Arial"/>
          <w:b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1418"/>
        <w:gridCol w:w="1366"/>
      </w:tblGrid>
      <w:tr w:rsidR="00376EDF" w:rsidTr="00CC43AE">
        <w:tc>
          <w:tcPr>
            <w:tcW w:w="6232" w:type="dxa"/>
          </w:tcPr>
          <w:p w:rsidR="00376EDF" w:rsidRPr="001036C4" w:rsidRDefault="00376EDF" w:rsidP="00CC43AE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036C4">
              <w:rPr>
                <w:rFonts w:ascii="Arial" w:hAnsi="Arial" w:cs="Arial"/>
                <w:b/>
                <w:i/>
                <w:sz w:val="24"/>
                <w:szCs w:val="24"/>
              </w:rPr>
              <w:t>Across all thresholds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1418" w:type="dxa"/>
          </w:tcPr>
          <w:p w:rsidR="00376EDF" w:rsidRPr="00C46521" w:rsidRDefault="00376EDF" w:rsidP="00CC43AE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46521">
              <w:rPr>
                <w:rFonts w:ascii="Arial" w:hAnsi="Arial" w:cs="Arial"/>
                <w:b/>
                <w:i/>
                <w:sz w:val="24"/>
                <w:szCs w:val="24"/>
              </w:rPr>
              <w:t>tpr</w:t>
            </w:r>
          </w:p>
        </w:tc>
        <w:tc>
          <w:tcPr>
            <w:tcW w:w="1366" w:type="dxa"/>
          </w:tcPr>
          <w:p w:rsidR="00376EDF" w:rsidRPr="00C46521" w:rsidRDefault="00376EDF" w:rsidP="00CC43AE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46521">
              <w:rPr>
                <w:rFonts w:ascii="Arial" w:hAnsi="Arial" w:cs="Arial"/>
                <w:b/>
                <w:i/>
                <w:sz w:val="24"/>
                <w:szCs w:val="24"/>
              </w:rPr>
              <w:t>fpr</w:t>
            </w:r>
          </w:p>
        </w:tc>
      </w:tr>
      <w:tr w:rsidR="00376EDF" w:rsidRPr="0074626A" w:rsidTr="00CC43AE">
        <w:tc>
          <w:tcPr>
            <w:tcW w:w="6232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Median difference in summary estimates: </w:t>
            </w:r>
          </w:p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 3 - diagmeta</w:t>
            </w:r>
          </w:p>
        </w:tc>
        <w:tc>
          <w:tcPr>
            <w:tcW w:w="1418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0.02</w:t>
            </w:r>
          </w:p>
        </w:tc>
        <w:tc>
          <w:tcPr>
            <w:tcW w:w="1366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0.00</w:t>
            </w:r>
          </w:p>
        </w:tc>
      </w:tr>
      <w:tr w:rsidR="00376EDF" w:rsidRPr="0074626A" w:rsidTr="00CC43AE">
        <w:tc>
          <w:tcPr>
            <w:tcW w:w="6232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 w:rsidRPr="0074626A">
              <w:rPr>
                <w:rFonts w:ascii="Arial" w:hAnsi="Arial" w:cs="Arial"/>
                <w:sz w:val="24"/>
                <w:szCs w:val="24"/>
              </w:rPr>
              <w:t>Max</w:t>
            </w:r>
            <w:r>
              <w:rPr>
                <w:rFonts w:ascii="Arial" w:hAnsi="Arial" w:cs="Arial"/>
                <w:sz w:val="24"/>
                <w:szCs w:val="24"/>
              </w:rPr>
              <w:t>imum</w:t>
            </w:r>
            <w:r w:rsidRPr="0074626A">
              <w:rPr>
                <w:rFonts w:ascii="Arial" w:hAnsi="Arial" w:cs="Arial"/>
                <w:sz w:val="24"/>
                <w:szCs w:val="24"/>
              </w:rPr>
              <w:t xml:space="preserve"> absolute difference in summary</w:t>
            </w:r>
            <w:r>
              <w:rPr>
                <w:rFonts w:ascii="Arial" w:hAnsi="Arial" w:cs="Arial"/>
                <w:sz w:val="24"/>
                <w:szCs w:val="24"/>
              </w:rPr>
              <w:t xml:space="preserve"> estimates </w:t>
            </w:r>
          </w:p>
        </w:tc>
        <w:tc>
          <w:tcPr>
            <w:tcW w:w="1418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0.03</w:t>
            </w:r>
          </w:p>
        </w:tc>
        <w:tc>
          <w:tcPr>
            <w:tcW w:w="1366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0.01</w:t>
            </w:r>
          </w:p>
        </w:tc>
      </w:tr>
      <w:tr w:rsidR="00376EDF" w:rsidRPr="0074626A" w:rsidTr="00CC43AE">
        <w:tc>
          <w:tcPr>
            <w:tcW w:w="6232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Mean width of 95% credible interval (Model 3)</w:t>
            </w:r>
          </w:p>
        </w:tc>
        <w:tc>
          <w:tcPr>
            <w:tcW w:w="1418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0.17</w:t>
            </w:r>
          </w:p>
        </w:tc>
        <w:tc>
          <w:tcPr>
            <w:tcW w:w="1366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0.07</w:t>
            </w:r>
          </w:p>
        </w:tc>
      </w:tr>
      <w:tr w:rsidR="00376EDF" w:rsidRPr="0074626A" w:rsidTr="00CC43AE">
        <w:tc>
          <w:tcPr>
            <w:tcW w:w="6232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Mean width of 95% confidence interval (diagmeta)</w:t>
            </w:r>
          </w:p>
        </w:tc>
        <w:tc>
          <w:tcPr>
            <w:tcW w:w="1418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0.19</w:t>
            </w:r>
          </w:p>
        </w:tc>
        <w:tc>
          <w:tcPr>
            <w:tcW w:w="1366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0.07</w:t>
            </w:r>
          </w:p>
        </w:tc>
      </w:tr>
    </w:tbl>
    <w:p w:rsidR="00376EDF" w:rsidRPr="00B6704A" w:rsidRDefault="00376EDF" w:rsidP="00376EDF">
      <w:pPr>
        <w:rPr>
          <w:rFonts w:ascii="Arial" w:hAnsi="Arial" w:cs="Arial"/>
          <w:b/>
          <w:i/>
          <w:sz w:val="24"/>
          <w:szCs w:val="24"/>
        </w:rPr>
      </w:pPr>
      <w:r w:rsidRPr="00B6704A">
        <w:rPr>
          <w:rFonts w:ascii="Arial" w:hAnsi="Arial" w:cs="Arial"/>
          <w:b/>
          <w:i/>
          <w:sz w:val="24"/>
          <w:szCs w:val="24"/>
        </w:rPr>
        <w:t xml:space="preserve">Table: </w:t>
      </w:r>
      <w:r>
        <w:rPr>
          <w:rFonts w:ascii="Arial" w:hAnsi="Arial" w:cs="Arial"/>
          <w:b/>
          <w:i/>
          <w:sz w:val="24"/>
          <w:szCs w:val="24"/>
        </w:rPr>
        <w:t xml:space="preserve">Difference in summary tpr and fpr estimates (Model 3 vs </w:t>
      </w:r>
      <w:r w:rsidRPr="00B6704A">
        <w:rPr>
          <w:rFonts w:ascii="Arial" w:hAnsi="Arial" w:cs="Arial"/>
          <w:b/>
          <w:i/>
          <w:sz w:val="24"/>
          <w:szCs w:val="24"/>
        </w:rPr>
        <w:t>Steinhauser et al ‘DIDS’ model, fitted in diagmeta</w:t>
      </w:r>
      <w:r>
        <w:rPr>
          <w:rFonts w:ascii="Arial" w:hAnsi="Arial" w:cs="Arial"/>
          <w:b/>
          <w:i/>
          <w:sz w:val="24"/>
          <w:szCs w:val="24"/>
        </w:rPr>
        <w:t>) and comparison of width of 95% credible/confidence intervals</w:t>
      </w:r>
    </w:p>
    <w:p w:rsidR="00376EDF" w:rsidRPr="00056D04" w:rsidRDefault="00376EDF" w:rsidP="00376EDF">
      <w:pPr>
        <w:autoSpaceDE w:val="0"/>
        <w:autoSpaceDN w:val="0"/>
        <w:adjustRightInd w:val="0"/>
        <w:spacing w:afterLines="80" w:after="192" w:line="360" w:lineRule="auto"/>
        <w:rPr>
          <w:rFonts w:ascii="Arial" w:hAnsi="Arial" w:cs="Arial"/>
          <w:b/>
          <w:i/>
          <w:sz w:val="24"/>
          <w:szCs w:val="24"/>
        </w:rPr>
      </w:pPr>
    </w:p>
    <w:p w:rsidR="00376EDF" w:rsidRPr="001C1922" w:rsidRDefault="00376EDF" w:rsidP="00376EDF">
      <w:pPr>
        <w:autoSpaceDE w:val="0"/>
        <w:autoSpaceDN w:val="0"/>
        <w:adjustRightInd w:val="0"/>
        <w:spacing w:afterLines="80" w:after="192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1C1922">
        <w:rPr>
          <w:rFonts w:ascii="Arial" w:hAnsi="Arial" w:cs="Arial"/>
          <w:b/>
          <w:i/>
          <w:sz w:val="24"/>
          <w:szCs w:val="24"/>
          <w:lang w:val="en-US"/>
        </w:rPr>
        <w:t>Example 2:</w:t>
      </w:r>
      <w:r w:rsidRPr="001C1922">
        <w:rPr>
          <w:rFonts w:ascii="Arial" w:hAnsi="Arial" w:cs="Arial"/>
          <w:b/>
          <w:sz w:val="24"/>
          <w:szCs w:val="24"/>
          <w:lang w:val="en-US"/>
        </w:rPr>
        <w:t xml:space="preserve"> Spot PCR for diagnosis of pre-eclampsia</w:t>
      </w:r>
    </w:p>
    <w:p w:rsidR="00376EDF" w:rsidRDefault="00376EDF" w:rsidP="00376EDF">
      <w:pPr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2500158" wp14:editId="32507499">
            <wp:extent cx="5731510" cy="24917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EDF" w:rsidRPr="00661DA9" w:rsidRDefault="00376EDF" w:rsidP="00376EDF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Figure: </w:t>
      </w:r>
      <w:r w:rsidRPr="00661DA9">
        <w:rPr>
          <w:rFonts w:ascii="Arial" w:hAnsi="Arial" w:cs="Arial"/>
          <w:b/>
          <w:i/>
          <w:sz w:val="24"/>
          <w:szCs w:val="24"/>
        </w:rPr>
        <w:t>Summary t</w:t>
      </w:r>
      <w:r>
        <w:rPr>
          <w:rFonts w:ascii="Arial" w:hAnsi="Arial" w:cs="Arial"/>
          <w:b/>
          <w:i/>
          <w:sz w:val="24"/>
          <w:szCs w:val="24"/>
        </w:rPr>
        <w:t>rue positive rate (tp</w:t>
      </w:r>
      <w:r w:rsidRPr="00661DA9">
        <w:rPr>
          <w:rFonts w:ascii="Arial" w:hAnsi="Arial" w:cs="Arial"/>
          <w:b/>
          <w:i/>
          <w:sz w:val="24"/>
          <w:szCs w:val="24"/>
        </w:rPr>
        <w:t>r</w:t>
      </w:r>
      <w:r>
        <w:rPr>
          <w:rFonts w:ascii="Arial" w:hAnsi="Arial" w:cs="Arial"/>
          <w:b/>
          <w:i/>
          <w:sz w:val="24"/>
          <w:szCs w:val="24"/>
        </w:rPr>
        <w:t>)</w:t>
      </w:r>
      <w:r w:rsidRPr="00661DA9">
        <w:rPr>
          <w:rFonts w:ascii="Arial" w:hAnsi="Arial" w:cs="Arial"/>
          <w:b/>
          <w:i/>
          <w:sz w:val="24"/>
          <w:szCs w:val="24"/>
        </w:rPr>
        <w:t xml:space="preserve"> and f</w:t>
      </w:r>
      <w:r>
        <w:rPr>
          <w:rFonts w:ascii="Arial" w:hAnsi="Arial" w:cs="Arial"/>
          <w:b/>
          <w:i/>
          <w:sz w:val="24"/>
          <w:szCs w:val="24"/>
        </w:rPr>
        <w:t>alse positive rate (f</w:t>
      </w:r>
      <w:r w:rsidRPr="00661DA9">
        <w:rPr>
          <w:rFonts w:ascii="Arial" w:hAnsi="Arial" w:cs="Arial"/>
          <w:b/>
          <w:i/>
          <w:sz w:val="24"/>
          <w:szCs w:val="24"/>
        </w:rPr>
        <w:t>pr</w:t>
      </w:r>
      <w:r>
        <w:rPr>
          <w:rFonts w:ascii="Arial" w:hAnsi="Arial" w:cs="Arial"/>
          <w:b/>
          <w:i/>
          <w:sz w:val="24"/>
          <w:szCs w:val="24"/>
        </w:rPr>
        <w:t>)</w:t>
      </w:r>
      <w:r w:rsidRPr="00661DA9">
        <w:rPr>
          <w:rFonts w:ascii="Arial" w:hAnsi="Arial" w:cs="Arial"/>
          <w:b/>
          <w:i/>
          <w:sz w:val="24"/>
          <w:szCs w:val="24"/>
        </w:rPr>
        <w:t xml:space="preserve"> estimates from Model 3 (with 95% credible intervals) compared with estimates from the Steinhauser et al ‘DIDS’ model, fitted in diagmeta (with 95% confidence intervals).</w:t>
      </w:r>
    </w:p>
    <w:p w:rsidR="00376EDF" w:rsidRPr="00736963" w:rsidRDefault="00376EDF" w:rsidP="00376EDF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1418"/>
        <w:gridCol w:w="1366"/>
      </w:tblGrid>
      <w:tr w:rsidR="00376EDF" w:rsidTr="00CC43AE">
        <w:tc>
          <w:tcPr>
            <w:tcW w:w="6232" w:type="dxa"/>
          </w:tcPr>
          <w:p w:rsidR="00376EDF" w:rsidRPr="001036C4" w:rsidRDefault="00376EDF" w:rsidP="00CC43AE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1036C4">
              <w:rPr>
                <w:rFonts w:ascii="Arial" w:hAnsi="Arial" w:cs="Arial"/>
                <w:b/>
                <w:i/>
                <w:sz w:val="24"/>
                <w:szCs w:val="24"/>
              </w:rPr>
              <w:t>Across all thresholds:</w:t>
            </w:r>
          </w:p>
        </w:tc>
        <w:tc>
          <w:tcPr>
            <w:tcW w:w="1418" w:type="dxa"/>
          </w:tcPr>
          <w:p w:rsidR="00376EDF" w:rsidRPr="00C46521" w:rsidRDefault="00376EDF" w:rsidP="00CC43AE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46521">
              <w:rPr>
                <w:rFonts w:ascii="Arial" w:hAnsi="Arial" w:cs="Arial"/>
                <w:b/>
                <w:i/>
                <w:sz w:val="24"/>
                <w:szCs w:val="24"/>
              </w:rPr>
              <w:t>tpr</w:t>
            </w:r>
          </w:p>
        </w:tc>
        <w:tc>
          <w:tcPr>
            <w:tcW w:w="1366" w:type="dxa"/>
          </w:tcPr>
          <w:p w:rsidR="00376EDF" w:rsidRPr="00C46521" w:rsidRDefault="00376EDF" w:rsidP="00CC43AE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C46521">
              <w:rPr>
                <w:rFonts w:ascii="Arial" w:hAnsi="Arial" w:cs="Arial"/>
                <w:b/>
                <w:i/>
                <w:sz w:val="24"/>
                <w:szCs w:val="24"/>
              </w:rPr>
              <w:t>fpr</w:t>
            </w:r>
          </w:p>
        </w:tc>
      </w:tr>
      <w:tr w:rsidR="00376EDF" w:rsidRPr="0074626A" w:rsidTr="00CC43AE">
        <w:tc>
          <w:tcPr>
            <w:tcW w:w="6232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Median difference in summary estimates: </w:t>
            </w:r>
          </w:p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 3 - diagmeta</w:t>
            </w:r>
          </w:p>
        </w:tc>
        <w:tc>
          <w:tcPr>
            <w:tcW w:w="1418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0.03</w:t>
            </w:r>
          </w:p>
        </w:tc>
        <w:tc>
          <w:tcPr>
            <w:tcW w:w="1366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0.02</w:t>
            </w:r>
          </w:p>
        </w:tc>
      </w:tr>
      <w:tr w:rsidR="00376EDF" w:rsidRPr="0074626A" w:rsidTr="00CC43AE">
        <w:tc>
          <w:tcPr>
            <w:tcW w:w="6232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 w:rsidRPr="0074626A">
              <w:rPr>
                <w:rFonts w:ascii="Arial" w:hAnsi="Arial" w:cs="Arial"/>
                <w:sz w:val="24"/>
                <w:szCs w:val="24"/>
              </w:rPr>
              <w:t>Max</w:t>
            </w:r>
            <w:r>
              <w:rPr>
                <w:rFonts w:ascii="Arial" w:hAnsi="Arial" w:cs="Arial"/>
                <w:sz w:val="24"/>
                <w:szCs w:val="24"/>
              </w:rPr>
              <w:t>imum</w:t>
            </w:r>
            <w:r w:rsidRPr="0074626A">
              <w:rPr>
                <w:rFonts w:ascii="Arial" w:hAnsi="Arial" w:cs="Arial"/>
                <w:sz w:val="24"/>
                <w:szCs w:val="24"/>
              </w:rPr>
              <w:t xml:space="preserve"> absolute difference in summary</w:t>
            </w:r>
            <w:r>
              <w:rPr>
                <w:rFonts w:ascii="Arial" w:hAnsi="Arial" w:cs="Arial"/>
                <w:sz w:val="24"/>
                <w:szCs w:val="24"/>
              </w:rPr>
              <w:t xml:space="preserve"> estimates </w:t>
            </w:r>
          </w:p>
        </w:tc>
        <w:tc>
          <w:tcPr>
            <w:tcW w:w="1418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0.04</w:t>
            </w:r>
          </w:p>
        </w:tc>
        <w:tc>
          <w:tcPr>
            <w:tcW w:w="1366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0.09</w:t>
            </w:r>
          </w:p>
        </w:tc>
      </w:tr>
      <w:tr w:rsidR="00376EDF" w:rsidRPr="0074626A" w:rsidTr="00CC43AE">
        <w:trPr>
          <w:trHeight w:val="64"/>
        </w:trPr>
        <w:tc>
          <w:tcPr>
            <w:tcW w:w="6232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Mean width of 95% credible interval (Model 3)</w:t>
            </w:r>
          </w:p>
        </w:tc>
        <w:tc>
          <w:tcPr>
            <w:tcW w:w="1418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0.22</w:t>
            </w:r>
          </w:p>
        </w:tc>
        <w:tc>
          <w:tcPr>
            <w:tcW w:w="1366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0.18</w:t>
            </w:r>
          </w:p>
        </w:tc>
      </w:tr>
      <w:tr w:rsidR="00376EDF" w:rsidRPr="0074626A" w:rsidTr="00CC43AE">
        <w:tc>
          <w:tcPr>
            <w:tcW w:w="6232" w:type="dxa"/>
          </w:tcPr>
          <w:p w:rsidR="00376EDF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Mean width of 95% confidence interval (diagmeta)</w:t>
            </w:r>
          </w:p>
        </w:tc>
        <w:tc>
          <w:tcPr>
            <w:tcW w:w="1418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0.27</w:t>
            </w:r>
          </w:p>
        </w:tc>
        <w:tc>
          <w:tcPr>
            <w:tcW w:w="1366" w:type="dxa"/>
          </w:tcPr>
          <w:p w:rsidR="00376EDF" w:rsidRPr="0074626A" w:rsidRDefault="00376EDF" w:rsidP="00CC43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0.14</w:t>
            </w:r>
          </w:p>
        </w:tc>
      </w:tr>
    </w:tbl>
    <w:p w:rsidR="00376EDF" w:rsidRPr="00B6704A" w:rsidRDefault="00376EDF" w:rsidP="00376EDF">
      <w:pPr>
        <w:rPr>
          <w:rFonts w:ascii="Arial" w:hAnsi="Arial" w:cs="Arial"/>
          <w:b/>
          <w:i/>
          <w:sz w:val="24"/>
          <w:szCs w:val="24"/>
        </w:rPr>
      </w:pPr>
      <w:r w:rsidRPr="00B6704A">
        <w:rPr>
          <w:rFonts w:ascii="Arial" w:hAnsi="Arial" w:cs="Arial"/>
          <w:b/>
          <w:i/>
          <w:sz w:val="24"/>
          <w:szCs w:val="24"/>
        </w:rPr>
        <w:t xml:space="preserve">Table: </w:t>
      </w:r>
      <w:r>
        <w:rPr>
          <w:rFonts w:ascii="Arial" w:hAnsi="Arial" w:cs="Arial"/>
          <w:b/>
          <w:i/>
          <w:sz w:val="24"/>
          <w:szCs w:val="24"/>
        </w:rPr>
        <w:t xml:space="preserve">Difference in summary tpr and fpr estimates (Model 3 vs </w:t>
      </w:r>
      <w:r w:rsidRPr="00B6704A">
        <w:rPr>
          <w:rFonts w:ascii="Arial" w:hAnsi="Arial" w:cs="Arial"/>
          <w:b/>
          <w:i/>
          <w:sz w:val="24"/>
          <w:szCs w:val="24"/>
        </w:rPr>
        <w:t>Steinhauser et al ‘DIDS’ model, fitted in diagmeta</w:t>
      </w:r>
      <w:r>
        <w:rPr>
          <w:rFonts w:ascii="Arial" w:hAnsi="Arial" w:cs="Arial"/>
          <w:b/>
          <w:i/>
          <w:sz w:val="24"/>
          <w:szCs w:val="24"/>
        </w:rPr>
        <w:t>) and comparison of width of 95% credible/confidence intervals</w:t>
      </w:r>
    </w:p>
    <w:p w:rsidR="00376EDF" w:rsidRDefault="00376EDF" w:rsidP="00376EDF">
      <w:pPr>
        <w:rPr>
          <w:rFonts w:ascii="Arial" w:hAnsi="Arial" w:cs="Arial"/>
          <w:sz w:val="24"/>
          <w:szCs w:val="24"/>
        </w:rPr>
      </w:pPr>
    </w:p>
    <w:p w:rsidR="00376EDF" w:rsidRPr="00F268FD" w:rsidRDefault="00376EDF" w:rsidP="00376EDF">
      <w:pPr>
        <w:autoSpaceDE w:val="0"/>
        <w:autoSpaceDN w:val="0"/>
        <w:adjustRightInd w:val="0"/>
        <w:spacing w:afterLines="80" w:after="192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F268FD">
        <w:rPr>
          <w:rFonts w:ascii="Arial" w:hAnsi="Arial" w:cs="Arial"/>
          <w:b/>
          <w:sz w:val="24"/>
          <w:szCs w:val="24"/>
          <w:lang w:val="en-US"/>
        </w:rPr>
        <w:t>References</w:t>
      </w:r>
    </w:p>
    <w:p w:rsidR="00376EDF" w:rsidRPr="00A83304" w:rsidRDefault="00376EDF" w:rsidP="00376EDF">
      <w:pPr>
        <w:pStyle w:val="EndNoteBibliography"/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ADDIN EN.REFLIST </w:instrText>
      </w:r>
      <w:r>
        <w:rPr>
          <w:rFonts w:ascii="Arial" w:hAnsi="Arial" w:cs="Arial"/>
          <w:sz w:val="24"/>
          <w:szCs w:val="24"/>
        </w:rPr>
        <w:fldChar w:fldCharType="separate"/>
      </w:r>
      <w:r w:rsidRPr="00A83304">
        <w:t>1.</w:t>
      </w:r>
      <w:r w:rsidRPr="00A83304">
        <w:tab/>
        <w:t>Steinhauser S, Schumacher M, Rucker G. Modelling multiple thresholds in meta-analysis of diagnostic test accuracy studies. BMC Med Res Methodol. 2016;16(1):97.</w:t>
      </w:r>
    </w:p>
    <w:p w:rsidR="00376EDF" w:rsidRPr="00736963" w:rsidRDefault="00376EDF" w:rsidP="00376ED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p w:rsidR="00376EDF" w:rsidRPr="00346789" w:rsidRDefault="00376EDF" w:rsidP="00376E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376EDF" w:rsidRPr="00346789" w:rsidRDefault="00376EDF" w:rsidP="00376E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A46BFB" w:rsidRDefault="00A46BFB">
      <w:bookmarkStart w:id="0" w:name="_GoBack"/>
      <w:bookmarkEnd w:id="0"/>
    </w:p>
    <w:sectPr w:rsidR="00A46BFB" w:rsidSect="00CF46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5AF" w:rsidRDefault="00376E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49368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35AF" w:rsidRDefault="00376ED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635AF" w:rsidRDefault="00376ED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5AF" w:rsidRDefault="00376EDF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5AF" w:rsidRDefault="00376ED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5AF" w:rsidRDefault="00376ED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5AF" w:rsidRDefault="00376E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EDF"/>
    <w:rsid w:val="00376EDF"/>
    <w:rsid w:val="00A4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3FFFA-ECEC-4B4D-BBBA-3E121218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ED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376EDF"/>
    <w:pPr>
      <w:spacing w:line="240" w:lineRule="auto"/>
    </w:pPr>
    <w:rPr>
      <w:rFonts w:ascii="Calibri" w:hAnsi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376EDF"/>
    <w:rPr>
      <w:rFonts w:ascii="Calibri" w:hAnsi="Calibri"/>
      <w:noProof/>
    </w:rPr>
  </w:style>
  <w:style w:type="table" w:styleId="TableGrid">
    <w:name w:val="Table Grid"/>
    <w:basedOn w:val="TableNormal"/>
    <w:uiPriority w:val="39"/>
    <w:rsid w:val="00376ED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76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EDF"/>
    <w:rPr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376EDF"/>
    <w:rPr>
      <w:rFonts w:ascii="Courier New" w:eastAsia="Times New Roman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376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ED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hyperlink" Target="https://cran.r-project.org/package=diagmeta" TargetMode="Externa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Sumogat, Kenneth</dc:creator>
  <cp:keywords/>
  <dc:description/>
  <cp:lastModifiedBy>Sumogat, Kenneth</cp:lastModifiedBy>
  <cp:revision>1</cp:revision>
  <dcterms:created xsi:type="dcterms:W3CDTF">2019-06-19T03:30:00Z</dcterms:created>
  <dcterms:modified xsi:type="dcterms:W3CDTF">2019-06-19T03:31:00Z</dcterms:modified>
</cp:coreProperties>
</file>