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pPr>
        <w:pStyle w:val="Heading2"/>
      </w:pPr>
      <w:bookmarkStart w:id="201" w:name="doppler-bc-fit"/>
      <w:r>
        <w:t>16. Fitting BC from Multi-Point Doppler/Velocity Data</w:t>
      </w:r>
      <w:bookmarkEnd w:id="201"/>
    </w:p>
    <w:p>
      <w:pPr>
        <w:pStyle w:val="FirstParagraph"/>
      </w:pPr>
      <w:r>
        <w:t xml:space="preserve">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pPr>
        <w:pStyle w:val="BodyText"/>
      </w:pPr>
      <w:r>
        <w:t xml:space="preserve">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pPr>
        <w:pStyle w:val="BodyText"/>
      </w:pPr>
      <w:r>
        <w:t xml:space="preserve">For a trial multiplier m, the model is evaluated once via a dense (every-yard) trajectory pass with BC = baseBC × m, and each entered distance is matched to its nearest sampled yard. The objective minimized is the sum of squared velocity residuals:</w:t>
      </w:r>
    </w:p>
    <w:p>
      <w:pPr>
        <w:pStyle w:val="SourceCode"/>
      </w:pPr>
      <w:r>
        <w:rPr>
          <w:rStyle w:val="VerbatimChar"/>
        </w:rPr>
        <w:t>SSE(m) = Σᵢ (v_model(dᵢ, m) − v_observedᵢ)²</w:t>
      </w:r>
    </w:p>
    <w:p>
      <w:pPr>
        <w:pStyle w:val="BodyText"/>
      </w:pPr>
      <w:r>
        <w:t xml:space="preserve">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pPr>
        <w:pStyle w:val="BodyText"/>
      </w:pPr>
      <w:r>
        <w:t xml:space="preserve">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pPr>
        <w:pStyle w:val="BodyText"/>
      </w:pPr>
      <w:r>
        <w:t xml:space="preserve">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pPr>
        <w:pStyle w:val="Heading2"/>
      </w:pPr>
      <w:bookmarkStart w:id="202" w:name="fx-chrono-import"/>
      <w:r>
        <w:t>17. Importing Chronograph Shot-Log Averages</w:t>
      </w:r>
      <w:bookmarkEnd w:id="202"/>
    </w:p>
    <w:p>
      <w:pPr>
        <w:pStyle w:val="FirstParagraph"/>
      </w:pPr>
      <w:r>
        <w:t xml:space="preserve">Section 16’s Doppler fit assumes an exported dataset that exposes velocity at many points down one shot’s flight path. This is a question about the exported log, not the underlying hardware: the FX True Ballistics Chronograph (the format currently recognised here) is itself a genuine Doppler device, measuring velocity at multiple points down range from a single shot exactly as a LabRadar does — but its own shot log does not expose that full point-by-point string. Instead it reports, for each independent shot fired, one summarised velocity and one already-computed BC estimate (labelled “T-BC(model): value” in the exported log). Many other chronographs go further still and report only muzzle velocity, with no BC of any kind. This section covers importing that shape of data — one velocity, and optionally one BC, per shot — a fundamentally simpler operation than Section 16’s regression, since there is nothing to fit.</w:t>
      </w:r>
    </w:p>
    <w:p>
      <w:pPr>
        <w:pStyle w:val="BodyText"/>
      </w:pPr>
      <w:r>
        <w:t xml:space="preserve">Averaging, not fitting. Because every shot in the string already carries its own complete velocity and BC reading, the correct combination of several shots is a plain average of each quantity — exactly the reasoning already used, informally, whenever a shooter trusts the mean of several ordinary chronograph readings over any single shot. No regression, search, or residual minimisation is involved: MV̅ = (1/n)Σvᵢ and BC̅ = (1/n)ΣBCᵢ, taken over every shot the parser can read from the pasted log, whatever n happens to be.</w:t>
      </w:r>
    </w:p>
    <w:p>
      <w:pPr>
        <w:pStyle w:val="BodyText"/>
      </w:pPr>
      <w:r>
        <w:t xml:space="preserve">Parsing is tolerant by design: the full exported log — header line, weather line, declared shot count, summary statistics — can be pasted in as-is, since only lines shaped like an actual shot row (containing a numeric velocity paired with the literal “FPS” unit, and a “T-BC(model):” field followed by a numeric value) are read; everything else is ignored rather than needing to be trimmed out first. Nothing in the parser assumes a fixed number of shots — a 3-shot string and a 30-shot string are both read and averaged the same way, one row at a time. When the log’s own declared “Shot count: N” header is present, it is cross-checked against how many rows were actually parsed and readable, and a mismatch is surfaced as a warning — the most common cause being a truncated paste.</w:t>
      </w:r>
    </w:p>
    <w:p>
      <w:pPr>
        <w:pStyle w:val="BodyText"/>
      </w:pPr>
      <w:r>
        <w:t xml:space="preserve">The averaged velocity can be applied directly to Muzzle Velocity, the same as manually typing in a new value — it has no relationship to BC multiplier, Trued badge, or Save-to-preset, and needs none of that machinery. The averaged BC, by contrast, sets the same BC multiplier that Section 12’s single-point Truing and Section 16’s Doppler fit both use, and is deliberately gated: it can only be applied when every shot in the log reports the same drag model, and that model matches the Drag Model currently selected in the application. A T-BC(G1) reading is specific to the G1 reference projectile; applying it while G7 is selected would silently mix two different drag models with no obvious symptom until the resulting trajectory looked implausible, so the control is disabled rather than assumed correct.</w:t>
      </w:r>
    </w:p>
    <w:p>
      <w:pPr>
        <w:pStyle w:val="BodyText"/>
      </w:pPr>
      <w:r>
        <w:t xml:space="preserve">Per-shot detail is retained and displayed alongside the average — velocity and BC for every individual shot, with any shot whose BC estimate sits more than 15% from the average flagged for a second look — for the same reason Section 16’s residual table exists: an average alone hides whether it was built from a tight, consistent string or one contaminated by a misread or a flier.</w:t>
      </w:r>
    </w:p>
    <w:p>
      <w:pPr>
        <w:pStyle w:val="Heading2"/>
      </w:pPr>
      <w:bookmarkStart w:id="300" w:name="probability-of-hit"/>
      <w:r>
        <w:t>18. Probability of Hit: Sensitivity, Root-Sum-Square Error Budgets, and Elliptical Hit Probability</w:t>
      </w:r>
      <w:bookmarkEnd w:id="300"/>
    </w:p>
    <w:p>
      <w:pPr>
        <w:pStyle w:val="FirstParagraph"/>
      </w:pPr>
      <w:r>
        <w:t xml:space="preserve">Every figure this application reports elsewhere — drop, windage, energy — is a single point estimate: the trajectory a load would follow if every input were known exactly. In practice a shooter never has that. The wind call is a guess, however good; the load’s muzzle velocity varies shot to shot; the rifle itself groups to some finite size; and the shooter’s own hold and trigger control add a further, genuinely random, dispersion. Probability of Hit turns those four separate uncertainties into one number: given a target of a stated size at a stated range, how likely is a hit? This section covers how each source is quantified, how they are combined, and how the resulting figure is turned into an actual probability against a circular target.</w:t>
      </w:r>
    </w:p>
    <w:p>
      <w:pPr>
        <w:pStyle w:val="BodyText"/>
      </w:pPr>
      <w:r>
        <w:t xml:space="preserve">Two of the four sources — wind-call uncertainty and muzzle-velocity spread (“velocity SD”) — are quantified by finite-difference sensitivity against the same computeTrajectory() engine every other page in the application calls, rather than by any closed-form formula. For each source, the relevant input (wind speed or muzzle velocity) is nudged by plus and minus its own one-sigma figure around whatever baseline the page is currently showing, the trajectory is recomputed at the selected range for each nudge, and the resulting shift in Drop and in total windage (crosswind drift + spin drift + Coriolis, the same combined figure Section 11 and the HUD/Reticle views already use) is measured against the unperturbed baseline. The two one-sided shifts are averaged (a central difference) into a single one-sigma linear dispersion, in inches, for that source — separately for elevation and for windage, since a given source generally does not affect both axes equally. Recomputing the full trajectory for each nudge, rather than approximating from the baseline table's own numbers, keeps this consistent with every other override in the application: wind and velocity both have second-order effects (via time of flight and airspeed-dependent drag) that a naive linear scaling would miss.</w:t>
      </w:r>
    </w:p>
    <w:p>
      <w:pPr>
        <w:pStyle w:val="BodyText"/>
      </w:pPr>
      <w:r>
        <w:t xml:space="preserve">Velocity SD — this load’s own round-to-round muzzle-velocity spread — cannot be derived from anything else already in the application: there is no formula connecting ballistic coefficient, weight, velocity, or drag model to an empirical shot-to-shot spread, since it depends on things (powder charge consistency, primer, case volume, or airgun valve/hammer-spring behaviour) the physics engine has no visibility into. It therefore starts as a rough manual placeholder (10fps) and is only ever replaced by a measured figure once a chronograph log of two or more shots is read on the Trajectory Truing tab (Section 17) and explicitly applied — at which point it is both relabelled “from log” and computed as the ordinary sample standard deviation, σ = √(Σ(vi − v̄)² / (n−1)), over the parsed shot velocities. Editing the figure by hand afterwards reverts the label back to “manual,” so a stale, no-longer-current log reading can never keep being presented as measured. Wind-call uncertainty has no equivalent measured path — it is inherently a statement about the shooter’s own confidence in a single wind reading, not a property of the rifle or ammunition — and is always a manual entry.</w:t>
      </w:r>
    </w:p>
    <w:p>
      <w:pPr>
        <w:pStyle w:val="BodyText"/>
      </w:pPr>
      <w:r>
        <w:t xml:space="preserve">The remaining two sources — rifle mechanical precision (group size) and shooter proficiency — are entered directly as angular dispersion figures rather than run through computeTrajectory() at all, since both already describe an angular spread rather than a response to some other physical input. Shooter proficiency is a single global setting shared across every rifle and load — by explicit design decision it describes the shooter, not any one firearm, so it is never tied to a preset and can be adjusted at any time. Rifle group size, in contrast, is a property of a specific rifle-and-ammunition combination and is saved per-preset, alongside BC and weight. Both are entered through the identical mechanism, directly in mils or MOA, or as a linear group — inches or centimetres — measured at a stated distance, converted to MOA by MOA = inches ÷ (yards × 0.010472), the same inches-per-100-yards-per-MOA relationship computeTrajectory()’s own moa/mils row fields are built from (Section 11), just solved for a standalone measurement rather than a trajectory row. Whichever unit is used, the resulting MOA figure is converted to a linear one-sigma dispersion at the selected range by inches = MOA × (range⁄100) × 1.0472, and applied identically to both the elevation and the windage axis — a deliberate simplifying assumption that a rifle’s mechanical group and a shooter’s own hold are each roughly isotropic (equally dispersed in every direction), rather than preferentially wider on one axis. Both figures are treated as one-sigma (standard-deviation) dispersion radii, not as extreme spread (the diameter of an observed group) — a shooter working from a group measured as extreme spread should convert before entering it here, and this distinction is called out in the in-app help text rather than silently assumed.</w:t>
      </w:r>
    </w:p>
    <w:p>
      <w:pPr>
        <w:pStyle w:val="BodyText"/>
      </w:pPr>
      <w:r>
        <w:t xml:space="preserve">All four one-sigma figures — velocity-SD sensitivity, wind-uncertainty sensitivity, rifle group size, and shooter proficiency — are combined separately for the elevation axis and the windage axis by root-sum-square: σ = √(σ₁² + σ₂² + σ₃² + σ₄²). This is the standard treatment for combining independent sources of uncertainty — the same reasoning used to combine independent measurement uncertainties in any physical error budget — and is correct precisely to the extent the four sources are actually independent of one another, which is treated here as a reasonable working assumption rather than something separately verified. The result is one elevation sigma and one windage sigma, generally unequal, describing an elliptical (not circular) impact-point dispersion pattern at the selected range.</w:t>
      </w:r>
    </w:p>
    <w:p>
      <w:pPr>
        <w:pStyle w:val="BodyText"/>
      </w:pPr>
      <w:r>
        <w:t xml:space="preserve">Turning that elliptical dispersion into an actual hit probability against a circular target has no simple closed form. The one case that does — an isotropic (circular) dispersion, σelevation = σwindage = σ — reduces to the Rayleigh cumulative distribution function, P = 1 − exp(−R² ⁄ (2σ²)), where R is the target radius; this is the formula the simpler circular-dispersion-only case (and many published field-target probability tools) use. Because wind and velocity sensitivity generally differ between the elevation and windage axes, the general case here is elliptical rather than circular, and is instead evaluated by direct numerical integration of the (uncorrelated) bivariate-normal impact-point density over the target disk: the disk is gridded into a fine Cartesian mesh (220 divisions across the diameter, clipped to the circle on each row), the density at each cell’s centre is evaluated as the product of two independent one-dimensional normal densities (one per axis, using each axis’s own sigma), and the weighted sum over every cell inside the disk gives the probability. This numerical approach was cross-checked against the closed-form Rayleigh result for the isotropic special case (σelevation = σwindage) across several sigma/radius combinations, agreeing to within 0.5%, before being relied on for the general elliptical case that has no closed form to check against.</w:t>
      </w:r>
    </w:p>
    <w:p>
      <w:pPr>
        <w:pStyle w:val="BodyText"/>
      </w:pPr>
      <w:r>
        <w:t xml:space="preserve">Three simplifications are deliberate, documented scope limits for this first version rather than oversights. First, the target is always treated as a single circular-equivalent diameter, even for a target that is not actually circular — the same convention the reference field-target tools this feature was modelled on use, and the more mathematically tractable case besides (an axis-aligned rectangular target would in fact reduce to two independent one-dimensional normal CDF lookups, a simpler case than the circular one implemented here). Second, range-estimation error and atmospheric uncertainty are not modelled at all: nothing already in the application can honestly source either figure yet (there is no rangefinder integration, and atmospheric readings are taken as entered, not as uncertain), and published breakdowns of comparable tools show both contributing a small fraction of the total error budget under typical conditions — so their omission is judged an acceptable, honestly-disclosed gap rather than a silently wrong number dressed up as complete. Third, this is a single static probability for the conditions entered, not a live, continuously-updated figure tracking a shooter’s hold in real time, and there is no Monte-Carlo scatter-plot visualisation of the underlying dispersion — both reasonable directions for a future version, but neither essential to a first, honestly-scoped release.</w:t>
      </w:r>
    </w:p>
    <w:p>
      <w:pPr>
        <w:pStyle w:val="BodyText"/>
      </w:pPr>
      <w:r>
        <w:t xml:space="preserve">A small circular graphic accompanies the headline percentage, plotting a random sample of simulated impact points against the selected target — drawn from the same elevation and windage sigmas by the standard Box-Muller transform, purely as a visual aid rather than as a second, independently-computed figure. This is a deliberate, documented distinction: the headline percentage comes from phHitProbability()'s exact numerical integration, while a small random sample (24 points) will not always land inside the target ring in precisely the same proportion the analytic figure states, simply from ordinary sampling variance at that sample size. Rather than compute and display a second, sample-based percentage that could occasionally disagree with the analytically correct one — a source of confusion this project's own transparency-about-approximations principle (Part 2) argues against — the graphic is captioned as illustrative only, and carries no percentage readout of its own.</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