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formula (and the shape factors above) carry no muzzle-velocity correction term, despite being referenced to roughly 2800 fps rifle velocities — while air-rifle loads typically run 700–950 fps. Adding the commonly suggested (V/2800)^(1/3) velocity term has been deliberately deferred pending validation against pellet data that already reads plausibly without it, rather than being added speculatively.</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w:t>
      </w:r>
    </w:p>
    <w:p w14:paraId="5D7A7E4E" w14:textId="77777777" w:rsidR="00934140" w:rsidRDefault="00000000">
      <w:pPr>
        <w:pStyle w:val="BodyText"/>
      </w:pPr>
      <w:r>
        <w:t>It is a deliberately distinct correction from Trajectory Truing above, not a variant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entire table by a constant angular amount to match a directly known holdover.</w:t>
      </w:r>
    </w:p>
    <w:p w14:paraId="3F4C641B" w14:textId="77777777" w:rsidR="00934140" w:rsidRDefault="00000000">
      <w:pPr>
        <w:pStyle w:val="BodyText"/>
      </w:pPr>
      <w:r>
        <w:t>The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Unlike the single-load table, this dropdown deliberately omits a “clicks” option: clicks require a secondary click-size selector to be meaningful, which would add real interface complexity to a compact summary table for a unit that wasn’t part of the original request — a small, deliberate scope boundary rather than an oversight.</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7F1A5428" w14:textId="77777777" w:rsidR="00934140" w:rsidRDefault="00000000">
      <w:pPr>
        <w:pStyle w:val="Heading2"/>
      </w:pPr>
      <w:bookmarkStart w:id="31" w:name="centrefire-scoped-subsonic-crossing-warn"/>
      <w:r>
        <w:t>5.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6.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