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C51531" w14:textId="5AFB650A" w:rsidR="00B133C1" w:rsidRDefault="00B133C1" w:rsidP="00B133C1">
      <w:pPr>
        <w:pStyle w:val="Title"/>
      </w:pPr>
      <w:r w:rsidRPr="00B133C1">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15CCBA69" w14:textId="70C97CC9" w:rsidR="00011863" w:rsidRDefault="00000000">
      <w:pPr>
        <w:pStyle w:val="Title"/>
      </w:pPr>
      <w:r>
        <w:t>Cervid Ballistics — Mathematical Models and Design Methodology</w:t>
      </w:r>
    </w:p>
    <w:p w14:paraId="6A180CA2" w14:textId="77777777" w:rsidR="00011863" w:rsidRDefault="00000000">
      <w:pPr>
        <w:pStyle w:val="Author"/>
      </w:pPr>
      <w:r>
        <w:t>Technical Reference</w:t>
      </w:r>
    </w:p>
    <w:p w14:paraId="37A98F6C" w14:textId="77777777" w:rsidR="00011863" w:rsidRDefault="00000000">
      <w:pPr>
        <w:pStyle w:val="Date"/>
      </w:pPr>
      <w:r>
        <w:t>July 2026</w:t>
      </w:r>
    </w:p>
    <w:p w14:paraId="7EF003A3" w14:textId="77777777" w:rsidR="00011863" w:rsidRDefault="00000000">
      <w:pPr>
        <w:pStyle w:val="Heading1"/>
      </w:pPr>
      <w:bookmarkStart w:id="0" w:name="introduction"/>
      <w:r>
        <w:t>Introduction</w:t>
      </w:r>
      <w:bookmarkEnd w:id="0"/>
    </w:p>
    <w:p w14:paraId="58C88983"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05045D3"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42938452" w14:textId="77777777" w:rsidR="00011863" w:rsidRDefault="005B60BE">
      <w:r>
        <w:pict w14:anchorId="370D2846">
          <v:rect id="Horizontal Line 1" o:spid="_x0000_s102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48215F" w14:textId="77777777" w:rsidR="00011863" w:rsidRDefault="00000000">
      <w:pPr>
        <w:pStyle w:val="Heading1"/>
      </w:pPr>
      <w:bookmarkStart w:id="1" w:name="part-1-mathematical-models"/>
      <w:r>
        <w:t>Part 1 — Mathematical Models</w:t>
      </w:r>
      <w:bookmarkEnd w:id="1"/>
    </w:p>
    <w:p w14:paraId="5A34FC59" w14:textId="77777777" w:rsidR="00011863" w:rsidRDefault="00000000">
      <w:pPr>
        <w:pStyle w:val="Heading2"/>
      </w:pPr>
      <w:bookmarkStart w:id="2" w:name="X5ae311ca349fd6339ac45a42813af0fdb2bff30"/>
      <w:r>
        <w:t>1. Coordinate System and Numerical Integration</w:t>
      </w:r>
      <w:bookmarkEnd w:id="2"/>
    </w:p>
    <w:p w14:paraId="3DC1BD12"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r>
      <w:r>
        <w:rPr>
          <w:b/>
        </w:rPr>
        <w:lastRenderedPageBreak/>
        <w:t>independent variable</w:t>
      </w:r>
      <w:r>
        <w:t>, not time. A fixed step of 3 feet (exactly one yard) is used throughout.</w:t>
      </w:r>
    </w:p>
    <w:p w14:paraId="4C7F341B" w14:textId="77777777" w:rsidR="00011863" w:rsidRDefault="00000000">
      <w:pPr>
        <w:pStyle w:val="BodyText"/>
      </w:pPr>
      <w:r>
        <w:t>The state vector carried through the integration is:</w:t>
      </w:r>
    </w:p>
    <w:p w14:paraId="46FEBE1C" w14:textId="77777777" w:rsidR="00011863" w:rsidRDefault="00000000">
      <w:pPr>
        <w:pStyle w:val="Compact"/>
        <w:numPr>
          <w:ilvl w:val="0"/>
          <w:numId w:val="2"/>
        </w:numPr>
      </w:pPr>
      <w:r>
        <w:rPr>
          <w:b/>
        </w:rPr>
        <w:t>y</w:t>
      </w:r>
      <w:r>
        <w:t xml:space="preserve"> — vertical position relative to the bore line (feet)</w:t>
      </w:r>
    </w:p>
    <w:p w14:paraId="35D00AE5" w14:textId="77777777" w:rsidR="00011863" w:rsidRDefault="00000000">
      <w:pPr>
        <w:pStyle w:val="Compact"/>
        <w:numPr>
          <w:ilvl w:val="0"/>
          <w:numId w:val="2"/>
        </w:numPr>
      </w:pPr>
      <w:r>
        <w:rPr>
          <w:b/>
        </w:rPr>
        <w:t>v_x, v_y</w:t>
      </w:r>
      <w:r>
        <w:t xml:space="preserve"> — horizontal and vertical velocity components (ft/s)</w:t>
      </w:r>
    </w:p>
    <w:p w14:paraId="093EBB0D" w14:textId="77777777" w:rsidR="00011863" w:rsidRDefault="00000000">
      <w:pPr>
        <w:pStyle w:val="Compact"/>
        <w:numPr>
          <w:ilvl w:val="0"/>
          <w:numId w:val="2"/>
        </w:numPr>
      </w:pPr>
      <w:r>
        <w:rPr>
          <w:b/>
        </w:rPr>
        <w:t>t</w:t>
      </w:r>
      <w:r>
        <w:t xml:space="preserve"> — elapsed time (seconds)</w:t>
      </w:r>
    </w:p>
    <w:p w14:paraId="469A9C9E" w14:textId="77777777" w:rsidR="00011863" w:rsidRDefault="00000000">
      <w:pPr>
        <w:pStyle w:val="FirstParagraph"/>
      </w:pPr>
      <w:r>
        <w:t>and the derivatives with respect to x are:</w:t>
      </w:r>
    </w:p>
    <w:p w14:paraId="34772A6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5AA24C17"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1F4E01AC"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0EA2EBDE" w14:textId="77777777" w:rsidR="00011863" w:rsidRDefault="00000000">
      <w:pPr>
        <w:pStyle w:val="BodyText"/>
      </w:pPr>
      <w:r>
        <w:t>The classical RK4 update, applied at each step, is:</w:t>
      </w:r>
    </w:p>
    <w:p w14:paraId="1B3F68F6"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6AAA5984" w14:textId="77777777" w:rsidR="00011863" w:rsidRDefault="00000000">
      <w:pPr>
        <w:pStyle w:val="FirstParagraph"/>
      </w:pPr>
      <w:r>
        <w:t>applied simultaneously across all four state variables (y, v_x, v_y, t).</w:t>
      </w:r>
    </w:p>
    <w:p w14:paraId="243906FB" w14:textId="77777777" w:rsidR="00011863" w:rsidRDefault="00000000">
      <w:pPr>
        <w:pStyle w:val="Heading2"/>
      </w:pPr>
      <w:bookmarkStart w:id="3" w:name="aerodynamic-drag"/>
      <w:r>
        <w:t>2. Aerodynamic Drag</w:t>
      </w:r>
      <w:bookmarkEnd w:id="3"/>
    </w:p>
    <w:p w14:paraId="3ACD7F7C" w14:textId="77777777" w:rsidR="00011863" w:rsidRDefault="00000000">
      <w:pPr>
        <w:pStyle w:val="FirstParagraph"/>
      </w:pPr>
      <w:r>
        <w:t>Deceleration along the flight path is computed from the standard point-mass exterior-ballistics drag equation:</w:t>
      </w:r>
    </w:p>
    <w:p w14:paraId="78A089A4" w14:textId="77777777" w:rsidR="00011863" w:rsidRDefault="00000000">
      <w:pPr>
        <w:pStyle w:val="SourceCode"/>
      </w:pPr>
      <w:r>
        <w:rPr>
          <w:rStyle w:val="VerbatimChar"/>
        </w:rPr>
        <w:t>D = ρ_ratio × K × Cd(Mach) × v² / BC</w:t>
      </w:r>
    </w:p>
    <w:p w14:paraId="41CD515D"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r>
      <w:r>
        <w:lastRenderedPageBreak/>
        <w:t>standard is selected, the equation needs no separate diameter, mass, or cross-sectional-area terms.</w:t>
      </w:r>
    </w:p>
    <w:p w14:paraId="7CB72F21"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84"/>
        <w:gridCol w:w="6497"/>
      </w:tblGrid>
      <w:tr w:rsidR="00011863" w14:paraId="360E266D" w14:textId="77777777">
        <w:tc>
          <w:tcPr>
            <w:tcW w:w="0" w:type="auto"/>
            <w:tcBorders>
              <w:bottom w:val="single" w:sz="0" w:space="0" w:color="auto"/>
            </w:tcBorders>
            <w:vAlign w:val="bottom"/>
          </w:tcPr>
          <w:p w14:paraId="1A97F6BB" w14:textId="77777777" w:rsidR="00011863" w:rsidRDefault="00000000">
            <w:pPr>
              <w:pStyle w:val="Compact"/>
            </w:pPr>
            <w:r>
              <w:t>Model</w:t>
            </w:r>
          </w:p>
        </w:tc>
        <w:tc>
          <w:tcPr>
            <w:tcW w:w="0" w:type="auto"/>
            <w:tcBorders>
              <w:bottom w:val="single" w:sz="0" w:space="0" w:color="auto"/>
            </w:tcBorders>
            <w:vAlign w:val="bottom"/>
          </w:tcPr>
          <w:p w14:paraId="52E1336F" w14:textId="77777777" w:rsidR="00011863" w:rsidRDefault="00000000">
            <w:pPr>
              <w:pStyle w:val="Compact"/>
            </w:pPr>
            <w:r>
              <w:t>Reference shape</w:t>
            </w:r>
          </w:p>
        </w:tc>
        <w:tc>
          <w:tcPr>
            <w:tcW w:w="0" w:type="auto"/>
            <w:tcBorders>
              <w:bottom w:val="single" w:sz="0" w:space="0" w:color="auto"/>
            </w:tcBorders>
            <w:vAlign w:val="bottom"/>
          </w:tcPr>
          <w:p w14:paraId="247EF873" w14:textId="77777777" w:rsidR="00011863" w:rsidRDefault="00000000">
            <w:pPr>
              <w:pStyle w:val="Compact"/>
            </w:pPr>
            <w:r>
              <w:t>Notes</w:t>
            </w:r>
          </w:p>
        </w:tc>
      </w:tr>
      <w:tr w:rsidR="00011863" w14:paraId="4CB15B45" w14:textId="77777777">
        <w:tc>
          <w:tcPr>
            <w:tcW w:w="0" w:type="auto"/>
          </w:tcPr>
          <w:p w14:paraId="57E4E47C" w14:textId="77777777" w:rsidR="00011863" w:rsidRDefault="00000000">
            <w:pPr>
              <w:pStyle w:val="Compact"/>
            </w:pPr>
            <w:r>
              <w:rPr>
                <w:b/>
              </w:rPr>
              <w:t>G1</w:t>
            </w:r>
          </w:p>
        </w:tc>
        <w:tc>
          <w:tcPr>
            <w:tcW w:w="0" w:type="auto"/>
          </w:tcPr>
          <w:p w14:paraId="031E4E6E" w14:textId="77777777" w:rsidR="00011863" w:rsidRDefault="00000000">
            <w:pPr>
              <w:pStyle w:val="Compact"/>
            </w:pPr>
            <w:r>
              <w:t>Flat-base, blunt “generic” projectile</w:t>
            </w:r>
          </w:p>
        </w:tc>
        <w:tc>
          <w:tcPr>
            <w:tcW w:w="0" w:type="auto"/>
          </w:tcPr>
          <w:p w14:paraId="3CB37C39" w14:textId="77777777" w:rsidR="00011863" w:rsidRDefault="00000000">
            <w:pPr>
              <w:pStyle w:val="Compact"/>
            </w:pPr>
            <w:r>
              <w:t>The oldest and most widely published standard; most manufacturer-quoted BCs are G1</w:t>
            </w:r>
          </w:p>
        </w:tc>
      </w:tr>
      <w:tr w:rsidR="00011863" w14:paraId="330EC686" w14:textId="77777777">
        <w:tc>
          <w:tcPr>
            <w:tcW w:w="0" w:type="auto"/>
          </w:tcPr>
          <w:p w14:paraId="4B073843" w14:textId="77777777" w:rsidR="00011863" w:rsidRDefault="00000000">
            <w:pPr>
              <w:pStyle w:val="Compact"/>
            </w:pPr>
            <w:r>
              <w:rPr>
                <w:b/>
              </w:rPr>
              <w:t>G7</w:t>
            </w:r>
          </w:p>
        </w:tc>
        <w:tc>
          <w:tcPr>
            <w:tcW w:w="0" w:type="auto"/>
          </w:tcPr>
          <w:p w14:paraId="6F064624" w14:textId="77777777" w:rsidR="00011863" w:rsidRDefault="00000000">
            <w:pPr>
              <w:pStyle w:val="Compact"/>
            </w:pPr>
            <w:r>
              <w:t>Boat-tail, streamlined long-range profile</w:t>
            </w:r>
          </w:p>
        </w:tc>
        <w:tc>
          <w:tcPr>
            <w:tcW w:w="0" w:type="auto"/>
          </w:tcPr>
          <w:p w14:paraId="5EBDD12E" w14:textId="77777777" w:rsidR="00011863" w:rsidRDefault="00000000">
            <w:pPr>
              <w:pStyle w:val="Compact"/>
            </w:pPr>
            <w:r>
              <w:t>A closer match to modern low-drag rifle bullets; produces a flatter, more realistic transonic drag curve for those shapes</w:t>
            </w:r>
          </w:p>
        </w:tc>
      </w:tr>
      <w:tr w:rsidR="00011863" w14:paraId="78A2F4A5" w14:textId="77777777">
        <w:tc>
          <w:tcPr>
            <w:tcW w:w="0" w:type="auto"/>
          </w:tcPr>
          <w:p w14:paraId="58E2E356" w14:textId="77777777" w:rsidR="00011863" w:rsidRDefault="00000000">
            <w:pPr>
              <w:pStyle w:val="Compact"/>
            </w:pPr>
            <w:r>
              <w:rPr>
                <w:b/>
              </w:rPr>
              <w:t>GA</w:t>
            </w:r>
          </w:p>
        </w:tc>
        <w:tc>
          <w:tcPr>
            <w:tcW w:w="0" w:type="auto"/>
          </w:tcPr>
          <w:p w14:paraId="13384039" w14:textId="77777777" w:rsidR="00011863" w:rsidRDefault="00000000">
            <w:pPr>
              <w:pStyle w:val="Compact"/>
            </w:pPr>
            <w:r>
              <w:t>Diabolo airgun pellet</w:t>
            </w:r>
          </w:p>
        </w:tc>
        <w:tc>
          <w:tcPr>
            <w:tcW w:w="0" w:type="auto"/>
          </w:tcPr>
          <w:p w14:paraId="70048659"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1E9068F0" w14:textId="77777777" w:rsidR="00011863" w:rsidRDefault="00000000">
      <w:pPr>
        <w:pStyle w:val="BodyText"/>
      </w:pPr>
      <w:r>
        <w:t>Each table stores [Mach, Cd] pairs; values below the lowest or above the highest tabulated Mach number are clamped to the nearest endpoint rather than extrapolated.</w:t>
      </w:r>
    </w:p>
    <w:p w14:paraId="25167091" w14:textId="77777777" w:rsidR="00011863" w:rsidRDefault="00000000">
      <w:pPr>
        <w:pStyle w:val="Heading2"/>
      </w:pPr>
      <w:bookmarkStart w:id="4" w:name="ballistic-coefficient-standards-g1-g7"/>
      <w:r>
        <w:t>3. Ballistic Coefficient Standards (G1 ↔ G7)</w:t>
      </w:r>
      <w:bookmarkEnd w:id="4"/>
    </w:p>
    <w:p w14:paraId="68E9390C"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563E8169" w14:textId="77777777" w:rsidR="00011863" w:rsidRDefault="00000000">
      <w:pPr>
        <w:pStyle w:val="SourceCode"/>
      </w:pPr>
      <w:r>
        <w:rPr>
          <w:rStyle w:val="VerbatimChar"/>
        </w:rPr>
        <w:t>BC(G7, estimated) = BC(G1) / 1.9</w:t>
      </w:r>
    </w:p>
    <w:p w14:paraId="36F7833E"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5072C328" w14:textId="77777777" w:rsidR="00011863" w:rsidRDefault="00000000">
      <w:pPr>
        <w:pStyle w:val="Heading2"/>
      </w:pPr>
      <w:bookmarkStart w:id="5" w:name="zeroing-sight-in-solver"/>
      <w:r>
        <w:t>4. Zeroing (Sight-In) Solver</w:t>
      </w:r>
      <w:bookmarkEnd w:id="5"/>
    </w:p>
    <w:p w14:paraId="5DB5A301"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1C3B5686" w14:textId="77777777" w:rsidR="00011863" w:rsidRDefault="00000000">
      <w:pPr>
        <w:pStyle w:val="BodyText"/>
      </w:pPr>
      <w:r>
        <w:t>This is done in two stages:</w:t>
      </w:r>
    </w:p>
    <w:p w14:paraId="2B732181"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7AD92EFF"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78ECE45E" w14:textId="77777777" w:rsidR="00011863" w:rsidRDefault="00000000">
      <w:pPr>
        <w:pStyle w:val="SourceCode"/>
      </w:pPr>
      <w:r>
        <w:rPr>
          <w:rStyle w:val="VerbatimChar"/>
        </w:rPr>
        <w:t>v_yB = (scopeHeight/12 + zeroDistance·tan(angle) + ½·g·t₀²) / t₀ − MV·sin(angle)</w:t>
      </w:r>
    </w:p>
    <w:p w14:paraId="3301F464"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6D097F1C" w14:textId="77777777" w:rsidR="00011863" w:rsidRDefault="00000000">
      <w:pPr>
        <w:pStyle w:val="Heading2"/>
      </w:pPr>
      <w:bookmarkStart w:id="6" w:name="wind-deflection"/>
      <w:r>
        <w:t>5. Wind Deflection</w:t>
      </w:r>
      <w:bookmarkEnd w:id="6"/>
    </w:p>
    <w:p w14:paraId="205E4CC2"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5CB3846B" w14:textId="77777777" w:rsidR="00011863" w:rsidRDefault="00000000">
      <w:pPr>
        <w:pStyle w:val="SourceCode"/>
      </w:pPr>
      <w:r>
        <w:rPr>
          <w:rStyle w:val="VerbatimChar"/>
        </w:rPr>
        <w:t>W(ft/s) = windSpeed(mph) × 1.46667 × sin(clockPosition/6 × π)</w:t>
      </w:r>
    </w:p>
    <w:p w14:paraId="6DEBE3D2"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0D8FDF29" w14:textId="77777777" w:rsidR="00011863" w:rsidRDefault="00000000">
      <w:pPr>
        <w:pStyle w:val="SourceCode"/>
      </w:pPr>
      <w:r>
        <w:rPr>
          <w:rStyle w:val="VerbatimChar"/>
        </w:rPr>
        <w:t>drift(in) = W × (t_actual − x/MV) × 12</w:t>
      </w:r>
    </w:p>
    <w:p w14:paraId="6370E2B6" w14:textId="77777777" w:rsidR="00011863" w:rsidRDefault="00000000">
      <w:pPr>
        <w:pStyle w:val="FirstParagraph"/>
      </w:pPr>
      <w:r>
        <w:rPr>
          <w:b/>
        </w:rPr>
        <w:t>Documented simplification:</w:t>
      </w:r>
      <w:r>
        <w:t xml:space="preserve"> only the crosswind component of a wind at any clock angle is modelled; a head/tailwind component (which would otherwise slightly speed up or retard the projectile along its own line of flight) is not simulated separately.</w:t>
      </w:r>
    </w:p>
    <w:p w14:paraId="7CB65082" w14:textId="77777777" w:rsidR="00011863" w:rsidRDefault="00000000">
      <w:pPr>
        <w:pStyle w:val="Heading2"/>
      </w:pPr>
      <w:bookmarkStart w:id="7" w:name="atmospheric-density-correction"/>
      <w:r>
        <w:t>6. Atmospheric Density Correction</w:t>
      </w:r>
      <w:bookmarkEnd w:id="7"/>
    </w:p>
    <w:p w14:paraId="793B76BF"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79477066"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4AFF25D"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2CF1B69F" w14:textId="77777777" w:rsidR="00011863" w:rsidRDefault="00000000">
      <w:pPr>
        <w:pStyle w:val="Heading2"/>
      </w:pPr>
      <w:bookmarkStart w:id="8" w:name="speed-of-sound-and-mach-number"/>
      <w:r>
        <w:lastRenderedPageBreak/>
        <w:t>7. Speed of Sound and Mach Number</w:t>
      </w:r>
      <w:bookmarkEnd w:id="8"/>
    </w:p>
    <w:p w14:paraId="4FF7CDA0" w14:textId="77777777" w:rsidR="00011863" w:rsidRDefault="00000000">
      <w:pPr>
        <w:pStyle w:val="SourceCode"/>
      </w:pPr>
      <w:r>
        <w:rPr>
          <w:rStyle w:val="VerbatimChar"/>
        </w:rPr>
        <w:t>a(ft/s) = 1116.45 × √((T°C + 273.15) / 288.15)</w:t>
      </w:r>
    </w:p>
    <w:p w14:paraId="7098411F"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1C0745D7" w14:textId="77777777" w:rsidR="00011863" w:rsidRDefault="00000000">
      <w:pPr>
        <w:pStyle w:val="Heading2"/>
      </w:pPr>
      <w:bookmarkStart w:id="9" w:name="X0272caef27d99d6282fc3bfc47549bd12847df0"/>
      <w:r>
        <w:t>8. Coriolis Effect and the Eötvös Correction</w:t>
      </w:r>
      <w:bookmarkEnd w:id="9"/>
    </w:p>
    <w:p w14:paraId="5E0EFB15"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7FC33462"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7EBD990C" w14:textId="77777777" w:rsidR="00011863" w:rsidRDefault="00000000">
      <w:pPr>
        <w:pStyle w:val="SourceCode"/>
      </w:pPr>
      <w:r>
        <w:rPr>
          <w:rStyle w:val="VerbatimChar"/>
        </w:rPr>
        <w:t>g_eff = g − 2Ω·cos(φ)·sin(A) × v_x</w:t>
      </w:r>
    </w:p>
    <w:p w14:paraId="4AA54E88"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42C283E8"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3B4B4694" w14:textId="77777777" w:rsidR="00011863" w:rsidRDefault="00000000">
      <w:pPr>
        <w:pStyle w:val="SourceCode"/>
      </w:pPr>
      <w:r>
        <w:rPr>
          <w:rStyle w:val="VerbatimChar"/>
        </w:rPr>
        <w:t>a_lateral = 2Ω·(sin(φ)·v_x − cos(φ)·cos(A)·v_y)</w:t>
      </w:r>
    </w:p>
    <w:p w14:paraId="51DF79CD"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055085BE"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7D277C72" w14:textId="77777777" w:rsidR="00011863" w:rsidRDefault="00000000">
      <w:pPr>
        <w:pStyle w:val="Heading2"/>
      </w:pPr>
      <w:bookmarkStart w:id="10" w:name="spin-drift"/>
      <w:r>
        <w:t>9. Spin Drift</w:t>
      </w:r>
      <w:bookmarkEnd w:id="10"/>
    </w:p>
    <w:p w14:paraId="6EDE2AFB"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5C23CBE7" w14:textId="77777777" w:rsidR="00011863" w:rsidRDefault="00000000">
      <w:pPr>
        <w:pStyle w:val="SourceCode"/>
      </w:pPr>
      <w:r>
        <w:rPr>
          <w:rStyle w:val="VerbatimChar"/>
        </w:rPr>
        <w:t>SpinDrift(in) = twistDirection × 1.25 × (Sg + 1.2) × t²</w:t>
      </w:r>
    </w:p>
    <w:p w14:paraId="64524C56" w14:textId="77777777" w:rsidR="00011863" w:rsidRDefault="00000000">
      <w:pPr>
        <w:pStyle w:val="FirstParagraph"/>
      </w:pPr>
      <w:r>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44475CE7" w14:textId="77777777" w:rsidR="00011863" w:rsidRDefault="00000000">
      <w:pPr>
        <w:pStyle w:val="Heading2"/>
      </w:pPr>
      <w:bookmarkStart w:id="11" w:name="gyroscopic-stability"/>
      <w:r>
        <w:lastRenderedPageBreak/>
        <w:t>10. Gyroscopic Stability</w:t>
      </w:r>
      <w:bookmarkEnd w:id="11"/>
    </w:p>
    <w:p w14:paraId="00C3E5B6" w14:textId="77777777" w:rsidR="00011863" w:rsidRDefault="00000000">
      <w:pPr>
        <w:pStyle w:val="FirstParagraph"/>
      </w:pPr>
      <w:r>
        <w:t xml:space="preserve">Whether a spinning projectile is adequately stabilised is estimated with </w:t>
      </w:r>
      <w:r>
        <w:rPr>
          <w:b/>
        </w:rPr>
        <w:t>Miller’s stability formula</w:t>
      </w:r>
      <w:r>
        <w:t>:</w:t>
      </w:r>
    </w:p>
    <w:p w14:paraId="765017C8" w14:textId="77777777" w:rsidR="00011863" w:rsidRDefault="00000000">
      <w:pPr>
        <w:pStyle w:val="SourceCode"/>
      </w:pPr>
      <w:r>
        <w:rPr>
          <w:rStyle w:val="VerbatimChar"/>
        </w:rPr>
        <w:t>Sg = 30·W / (n² · d³ · l_c · (1 + l_c²) · ρ_ratio)</w:t>
      </w:r>
    </w:p>
    <w:p w14:paraId="79AD5B5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0A966F21" w14:textId="77777777" w:rsidR="00011863" w:rsidRDefault="00000000">
      <w:pPr>
        <w:pStyle w:val="SourceCode"/>
      </w:pPr>
      <w:r>
        <w:rPr>
          <w:rStyle w:val="VerbatimChar"/>
        </w:rPr>
        <w:t>T_min = d × √(30·W·ρ_ratio / (1.5·d³·l_c·(1+l_c²)))</w:t>
      </w:r>
    </w:p>
    <w:p w14:paraId="4831F9F6" w14:textId="77777777" w:rsidR="00011863" w:rsidRDefault="00000000">
      <w:pPr>
        <w:pStyle w:val="FirstParagraph"/>
      </w:pPr>
      <w:r>
        <w:rPr>
          <w:b/>
        </w:rPr>
        <w:t>Greenhill’s rule</w:t>
      </w:r>
      <w:r>
        <w:t xml:space="preserve"> is also available as a simpler, independent cross-check:</w:t>
      </w:r>
    </w:p>
    <w:p w14:paraId="404F3C51" w14:textId="77777777" w:rsidR="00011863" w:rsidRDefault="00000000">
      <w:pPr>
        <w:pStyle w:val="SourceCode"/>
      </w:pPr>
      <w:r>
        <w:rPr>
          <w:rStyle w:val="VerbatimChar"/>
        </w:rPr>
        <w:t>T = C × d² / l         (C = 150 below 2700 fps muzzle velocity, 180 at or above it)</w:t>
      </w:r>
    </w:p>
    <w:p w14:paraId="3AC9C31F"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5A06FEF4" w14:textId="77777777">
        <w:tc>
          <w:tcPr>
            <w:tcW w:w="0" w:type="auto"/>
            <w:tcBorders>
              <w:bottom w:val="single" w:sz="0" w:space="0" w:color="auto"/>
            </w:tcBorders>
            <w:vAlign w:val="bottom"/>
          </w:tcPr>
          <w:p w14:paraId="694F51FA" w14:textId="77777777" w:rsidR="00011863" w:rsidRDefault="00000000">
            <w:pPr>
              <w:pStyle w:val="Compact"/>
            </w:pPr>
            <w:r>
              <w:t>Shape</w:t>
            </w:r>
          </w:p>
        </w:tc>
        <w:tc>
          <w:tcPr>
            <w:tcW w:w="0" w:type="auto"/>
            <w:tcBorders>
              <w:bottom w:val="single" w:sz="0" w:space="0" w:color="auto"/>
            </w:tcBorders>
            <w:vAlign w:val="bottom"/>
          </w:tcPr>
          <w:p w14:paraId="2308DC3B" w14:textId="77777777" w:rsidR="00011863" w:rsidRDefault="00000000">
            <w:pPr>
              <w:pStyle w:val="Compact"/>
            </w:pPr>
            <w:r>
              <w:t>Sg multiplier</w:t>
            </w:r>
          </w:p>
        </w:tc>
        <w:tc>
          <w:tcPr>
            <w:tcW w:w="0" w:type="auto"/>
            <w:tcBorders>
              <w:bottom w:val="single" w:sz="0" w:space="0" w:color="auto"/>
            </w:tcBorders>
            <w:vAlign w:val="bottom"/>
          </w:tcPr>
          <w:p w14:paraId="25F5994E" w14:textId="77777777" w:rsidR="00011863" w:rsidRDefault="00000000">
            <w:pPr>
              <w:pStyle w:val="Compact"/>
            </w:pPr>
            <w:r>
              <w:t>Twist-requirement multiplier</w:t>
            </w:r>
          </w:p>
        </w:tc>
      </w:tr>
      <w:tr w:rsidR="00011863" w14:paraId="0FA61CC5" w14:textId="77777777">
        <w:tc>
          <w:tcPr>
            <w:tcW w:w="0" w:type="auto"/>
          </w:tcPr>
          <w:p w14:paraId="596FCAA1" w14:textId="77777777" w:rsidR="00011863" w:rsidRDefault="00000000">
            <w:pPr>
              <w:pStyle w:val="Compact"/>
            </w:pPr>
            <w:r>
              <w:t>Flat-base</w:t>
            </w:r>
          </w:p>
        </w:tc>
        <w:tc>
          <w:tcPr>
            <w:tcW w:w="0" w:type="auto"/>
          </w:tcPr>
          <w:p w14:paraId="30BD6339" w14:textId="77777777" w:rsidR="00011863" w:rsidRDefault="00000000">
            <w:pPr>
              <w:pStyle w:val="Compact"/>
            </w:pPr>
            <w:r>
              <w:t>×1.00</w:t>
            </w:r>
          </w:p>
        </w:tc>
        <w:tc>
          <w:tcPr>
            <w:tcW w:w="0" w:type="auto"/>
          </w:tcPr>
          <w:p w14:paraId="6C944849" w14:textId="77777777" w:rsidR="00011863" w:rsidRDefault="00000000">
            <w:pPr>
              <w:pStyle w:val="Compact"/>
            </w:pPr>
            <w:r>
              <w:t>×1.00</w:t>
            </w:r>
          </w:p>
        </w:tc>
      </w:tr>
      <w:tr w:rsidR="00011863" w14:paraId="6FBAAADC" w14:textId="77777777">
        <w:tc>
          <w:tcPr>
            <w:tcW w:w="0" w:type="auto"/>
          </w:tcPr>
          <w:p w14:paraId="72AA7BF8" w14:textId="77777777" w:rsidR="00011863" w:rsidRDefault="00000000">
            <w:pPr>
              <w:pStyle w:val="Compact"/>
            </w:pPr>
            <w:r>
              <w:t>Boat-tail</w:t>
            </w:r>
          </w:p>
        </w:tc>
        <w:tc>
          <w:tcPr>
            <w:tcW w:w="0" w:type="auto"/>
          </w:tcPr>
          <w:p w14:paraId="1162C119" w14:textId="77777777" w:rsidR="00011863" w:rsidRDefault="00000000">
            <w:pPr>
              <w:pStyle w:val="Compact"/>
            </w:pPr>
            <w:r>
              <w:t>×1.08</w:t>
            </w:r>
          </w:p>
        </w:tc>
        <w:tc>
          <w:tcPr>
            <w:tcW w:w="0" w:type="auto"/>
          </w:tcPr>
          <w:p w14:paraId="1496940E" w14:textId="77777777" w:rsidR="00011863" w:rsidRDefault="00000000">
            <w:pPr>
              <w:pStyle w:val="Compact"/>
            </w:pPr>
            <w:r>
              <w:t>×√1.08</w:t>
            </w:r>
          </w:p>
        </w:tc>
      </w:tr>
      <w:tr w:rsidR="00011863" w14:paraId="469BF8AB" w14:textId="77777777">
        <w:tc>
          <w:tcPr>
            <w:tcW w:w="0" w:type="auto"/>
          </w:tcPr>
          <w:p w14:paraId="6739A897" w14:textId="77777777" w:rsidR="00011863" w:rsidRDefault="00000000">
            <w:pPr>
              <w:pStyle w:val="Compact"/>
            </w:pPr>
            <w:r>
              <w:t>Diabolo (airgun pellet)</w:t>
            </w:r>
          </w:p>
        </w:tc>
        <w:tc>
          <w:tcPr>
            <w:tcW w:w="0" w:type="auto"/>
          </w:tcPr>
          <w:p w14:paraId="2A058DA3" w14:textId="77777777" w:rsidR="00011863" w:rsidRDefault="00000000">
            <w:pPr>
              <w:pStyle w:val="Compact"/>
            </w:pPr>
            <w:r>
              <w:t>×1.20</w:t>
            </w:r>
          </w:p>
        </w:tc>
        <w:tc>
          <w:tcPr>
            <w:tcW w:w="0" w:type="auto"/>
          </w:tcPr>
          <w:p w14:paraId="32176575" w14:textId="77777777" w:rsidR="00011863" w:rsidRDefault="00000000">
            <w:pPr>
              <w:pStyle w:val="Compact"/>
            </w:pPr>
            <w:r>
              <w:t>×√1.20</w:t>
            </w:r>
          </w:p>
        </w:tc>
      </w:tr>
    </w:tbl>
    <w:p w14:paraId="689F96AE"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4D6473E4" w14:textId="77777777" w:rsidR="00011863" w:rsidRDefault="00000000">
      <w:pPr>
        <w:pStyle w:val="BodyText"/>
      </w:pPr>
      <w:r>
        <w:t>A known, documented gap: Miller’s formula (and the shape factors above) carry no muzzle-velocity correction term, despite being referenced to roughly 2800 fps rifle velocities — while air-rifle loads typically run 700–950 fps. Adding the commonly suggested (V/2800)^(1/3) velocity term has been deliberately deferred pending validation against pellet data that already reads plausibly without it, rather than being added speculatively.</w:t>
      </w:r>
    </w:p>
    <w:p w14:paraId="21BED423" w14:textId="77777777" w:rsidR="00011863" w:rsidRDefault="00000000">
      <w:pPr>
        <w:pStyle w:val="Heading2"/>
      </w:pPr>
      <w:bookmarkStart w:id="12" w:name="energy-and-angular-unit-conversions"/>
      <w:r>
        <w:t>11. Energy and Angular-Unit Conversions</w:t>
      </w:r>
      <w:bookmarkEnd w:id="12"/>
    </w:p>
    <w:p w14:paraId="30DD022E" w14:textId="77777777" w:rsidR="00011863" w:rsidRDefault="00000000">
      <w:pPr>
        <w:pStyle w:val="FirstParagraph"/>
      </w:pPr>
      <w:r>
        <w:t>Kinetic energy at any point in the flight:</w:t>
      </w:r>
    </w:p>
    <w:p w14:paraId="29A972C8" w14:textId="77777777" w:rsidR="00011863" w:rsidRDefault="00000000">
      <w:pPr>
        <w:pStyle w:val="SourceCode"/>
      </w:pPr>
      <w:r>
        <w:rPr>
          <w:rStyle w:val="VerbatimChar"/>
        </w:rPr>
        <w:t>KE(ft·lb) = v² × (W_gr / 7000) / (2 × 32.174)</w:t>
      </w:r>
      <w:r>
        <w:br/>
      </w:r>
      <w:r>
        <w:rPr>
          <w:rStyle w:val="VerbatimChar"/>
        </w:rPr>
        <w:t>KE(J)     = KE(ft·lb) × 1.35582</w:t>
      </w:r>
    </w:p>
    <w:p w14:paraId="64A534DA" w14:textId="77777777" w:rsidR="00011863" w:rsidRDefault="00000000">
      <w:pPr>
        <w:pStyle w:val="FirstParagraph"/>
      </w:pPr>
      <w:r>
        <w:t>using 7000 grains per pound and g = 32.174 ft/s² as the weight-to-mass conversion, and the standard ft·lb-to-joule constant.</w:t>
      </w:r>
    </w:p>
    <w:p w14:paraId="30E97300" w14:textId="77777777" w:rsidR="00011863" w:rsidRDefault="00000000">
      <w:pPr>
        <w:pStyle w:val="BodyText"/>
      </w:pPr>
      <w:r>
        <w:lastRenderedPageBreak/>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06ED9EB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64EFAD66" w14:textId="77777777" w:rsidR="00011863" w:rsidRDefault="00000000">
      <w:pPr>
        <w:pStyle w:val="FirstParagraph"/>
      </w:pPr>
      <w:r>
        <w:t>(1.0472 in per 100 yd defines one MOA; 0.036 in per yd defines one mil — both standard reference constants.)</w:t>
      </w:r>
    </w:p>
    <w:p w14:paraId="59DBFBBE" w14:textId="77777777" w:rsidR="00011863" w:rsidRDefault="00000000">
      <w:pPr>
        <w:pStyle w:val="Heading2"/>
      </w:pPr>
      <w:bookmarkStart w:id="13" w:name="Xa84dc48bafbb7bc4379dc77120e2827a0e85e16"/>
      <w:r>
        <w:t>12. Trajectory Truing (Empirical BC Calibration)</w:t>
      </w:r>
      <w:bookmarkEnd w:id="13"/>
    </w:p>
    <w:p w14:paraId="6755921F"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58D390E4"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476A6EAB" w14:textId="77777777" w:rsidR="00011863" w:rsidRDefault="00000000">
      <w:pPr>
        <w:pStyle w:val="Compact"/>
        <w:numPr>
          <w:ilvl w:val="0"/>
          <w:numId w:val="4"/>
        </w:numPr>
      </w:pPr>
      <w:r>
        <w:t>A higher BC means less drag and therefore less drop, so a smaller predicted holdover value.</w:t>
      </w:r>
    </w:p>
    <w:p w14:paraId="592468EA"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64D9CE32"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2C8314E"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25182859"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2AD09BDA" w14:textId="77777777" w:rsidR="00011863" w:rsidRDefault="00000000">
      <w:pPr>
        <w:pStyle w:val="Heading2"/>
      </w:pPr>
      <w:bookmarkStart w:id="14" w:name="plausibility-checks"/>
      <w:r>
        <w:t>13. Plausibility Checks</w:t>
      </w:r>
      <w:bookmarkEnd w:id="14"/>
    </w:p>
    <w:p w14:paraId="1FF7B28B"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7C8948BF" w14:textId="77777777" w:rsidR="00011863" w:rsidRDefault="005B60BE">
      <w:r>
        <w:pict w14:anchorId="0AB1E124">
          <v:rect id="Horizontal Line 2" o:spid="_x0000_s102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B8C7D1" w14:textId="77777777" w:rsidR="00011863" w:rsidRDefault="00000000">
      <w:pPr>
        <w:pStyle w:val="Heading1"/>
      </w:pPr>
      <w:bookmarkStart w:id="15" w:name="part-2-design-methodology"/>
      <w:r>
        <w:t>Part 2 — Design Methodology</w:t>
      </w:r>
      <w:bookmarkEnd w:id="15"/>
    </w:p>
    <w:p w14:paraId="00D65D25" w14:textId="77777777" w:rsidR="00011863" w:rsidRDefault="00000000">
      <w:pPr>
        <w:pStyle w:val="Heading2"/>
      </w:pPr>
      <w:bookmarkStart w:id="16" w:name="single-file-zero-dependency-architecture"/>
      <w:r>
        <w:t>1. Single-File, Zero-Dependency Architecture</w:t>
      </w:r>
      <w:bookmarkEnd w:id="16"/>
    </w:p>
    <w:p w14:paraId="3ABFFB1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72110A28" w14:textId="77777777" w:rsidR="00011863" w:rsidRDefault="00000000">
      <w:pPr>
        <w:pStyle w:val="Heading2"/>
      </w:pPr>
      <w:bookmarkStart w:id="17" w:name="X03f352a211ec1f9d2d2cb2ccc4f504801693093"/>
      <w:r>
        <w:t>2. Canonical Internal Units, Converted Only at the Boundary</w:t>
      </w:r>
      <w:bookmarkEnd w:id="17"/>
    </w:p>
    <w:p w14:paraId="12BF938D"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5A8C34CE"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4FD29F99" w14:textId="77777777" w:rsidR="00011863" w:rsidRDefault="00000000">
      <w:pPr>
        <w:pStyle w:val="Heading2"/>
      </w:pPr>
      <w:bookmarkStart w:id="18" w:name="Xb65f980db82093c0ec65188b4e953a836b7ec15"/>
      <w:r>
        <w:t>3. Iterative, Usage-Driven Feature Development</w:t>
      </w:r>
      <w:bookmarkEnd w:id="18"/>
    </w:p>
    <w:p w14:paraId="5E418579"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12AA6B72" w14:textId="77777777" w:rsidR="00011863" w:rsidRDefault="00000000">
      <w:pPr>
        <w:pStyle w:val="Heading2"/>
      </w:pPr>
      <w:bookmarkStart w:id="19" w:name="X76af9a41c1155abeec07dcf3050babbfb908300"/>
      <w:r>
        <w:t>4. Testing Without a Browser: Headless Node/VM Harnesses</w:t>
      </w:r>
      <w:bookmarkEnd w:id="19"/>
    </w:p>
    <w:p w14:paraId="2EE8AAE3" w14:textId="77777777" w:rsidR="00011863" w:rsidRDefault="00000000">
      <w:pPr>
        <w:pStyle w:val="FirstParagraph"/>
      </w:pPr>
      <w:r>
        <w:t>The development environment has no access to a real browser or to the npm package registry, which rules out both conventional browser-automation testing and most off-</w:t>
      </w:r>
      <w:r>
        <w:lastRenderedPageBreak/>
        <w:t xml:space="preserve">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2EF0A254" w14:textId="77777777" w:rsidR="00011863" w:rsidRDefault="00000000">
      <w:pPr>
        <w:pStyle w:val="BodyText"/>
      </w:pPr>
      <w:r>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60903E84" w14:textId="77777777" w:rsidR="00011863" w:rsidRDefault="00000000">
      <w:pPr>
        <w:pStyle w:val="Heading2"/>
      </w:pPr>
      <w:bookmarkStart w:id="20" w:name="multi-variant-deployment-discipline"/>
      <w:r>
        <w:t>5. Multi-Variant Deployment Discipline</w:t>
      </w:r>
      <w:bookmarkEnd w:id="20"/>
    </w:p>
    <w:p w14:paraId="18BB2B2B"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5F73C299" w14:textId="77777777" w:rsidR="00011863" w:rsidRDefault="00000000">
      <w:pPr>
        <w:pStyle w:val="Heading2"/>
      </w:pPr>
      <w:bookmarkStart w:id="21" w:name="transparency-about-approximations"/>
      <w:r>
        <w:t>6. Transparency About Approximations</w:t>
      </w:r>
      <w:bookmarkEnd w:id="21"/>
    </w:p>
    <w:p w14:paraId="76FD4756"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6DA6B3B0" w14:textId="77777777" w:rsidR="00011863" w:rsidRDefault="00000000">
      <w:pPr>
        <w:pStyle w:val="Heading2"/>
      </w:pPr>
      <w:bookmarkStart w:id="22" w:name="advisory-validation-not-gatekeeping"/>
      <w:r>
        <w:t>7. Advisory Validation, Not Gatekeeping</w:t>
      </w:r>
      <w:bookmarkEnd w:id="22"/>
    </w:p>
    <w:p w14:paraId="2F48541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04CF82AD" w14:textId="77777777" w:rsidR="00011863" w:rsidRDefault="00000000">
      <w:pPr>
        <w:pStyle w:val="Heading2"/>
      </w:pPr>
      <w:bookmarkStart w:id="23" w:name="accessibility-as-a-first-class-concern"/>
      <w:r>
        <w:t>8. Accessibility as a First-Class Concern</w:t>
      </w:r>
      <w:bookmarkEnd w:id="23"/>
    </w:p>
    <w:p w14:paraId="27D4EBC9"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w:t>
      </w:r>
      <w:r>
        <w:lastRenderedPageBreak/>
        <w:t>applied when auditing other colour-only status indicators elsewhere in the interface. This was addressed as a dedicated pass over the application rather than an incidental side-effect of a colour palette choice.</w:t>
      </w:r>
    </w:p>
    <w:p w14:paraId="2E6635B1" w14:textId="77777777" w:rsidR="00011863" w:rsidRDefault="00000000">
      <w:pPr>
        <w:pStyle w:val="Heading2"/>
      </w:pPr>
      <w:bookmarkStart w:id="24" w:name="X72546918724611ffeb226dceba3dbaec010b8b6"/>
      <w:r>
        <w:t>9. Deliberate Simplicity Over Feature Completeness</w:t>
      </w:r>
      <w:bookmarkEnd w:id="24"/>
    </w:p>
    <w:p w14:paraId="22269F92" w14:textId="77777777" w:rsidR="00011863" w:rsidRDefault="00000000">
      <w:pPr>
        <w:pStyle w:val="FirstParagraph"/>
      </w:pPr>
      <w:r>
        <w:t>Not every capability that was built was kept. A Bluetooth integration with a Kestrel 5700X weather meter was implemented and then deliberately removed once two problems became clear: Web Bluetooth is Chrome-only, directly conflicting with the 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3EC45677" w14:textId="77777777" w:rsidR="00011863" w:rsidRDefault="00000000">
      <w:pPr>
        <w:pStyle w:val="Heading2"/>
      </w:pPr>
      <w:bookmarkStart w:id="25" w:name="X7ea07aa20c72aed6ef2b2049cdfa9fb93eef527"/>
      <w:r>
        <w:t>10. The Changelog as an Engineering Discipline</w:t>
      </w:r>
      <w:bookmarkEnd w:id="25"/>
    </w:p>
    <w:p w14:paraId="0D35F670"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6A3BED0B" w14:textId="77777777" w:rsidR="00011863" w:rsidRDefault="005B60BE">
      <w:r>
        <w:pict w14:anchorId="0F5AAB2D">
          <v:rect id="Horizontal Line 3" o:spid="_x0000_s102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801AE58" w14:textId="77777777" w:rsidR="00011863" w:rsidRDefault="00000000">
      <w:pPr>
        <w:pStyle w:val="Heading1"/>
      </w:pPr>
      <w:bookmarkStart w:id="26" w:name="appendix-key-constants-reference"/>
      <w:r>
        <w:t>Appendix — Key Constants Reference</w:t>
      </w:r>
      <w:bookmarkEnd w:id="26"/>
    </w:p>
    <w:tbl>
      <w:tblPr>
        <w:tblStyle w:val="Table"/>
        <w:tblW w:w="5000" w:type="pct"/>
        <w:tblLook w:val="07E0" w:firstRow="1" w:lastRow="1" w:firstColumn="1" w:lastColumn="1" w:noHBand="1" w:noVBand="1"/>
      </w:tblPr>
      <w:tblGrid>
        <w:gridCol w:w="3077"/>
        <w:gridCol w:w="2783"/>
        <w:gridCol w:w="3376"/>
      </w:tblGrid>
      <w:tr w:rsidR="00011863" w14:paraId="6231A24F" w14:textId="77777777">
        <w:tc>
          <w:tcPr>
            <w:tcW w:w="0" w:type="auto"/>
            <w:tcBorders>
              <w:bottom w:val="single" w:sz="0" w:space="0" w:color="auto"/>
            </w:tcBorders>
            <w:vAlign w:val="bottom"/>
          </w:tcPr>
          <w:p w14:paraId="138A164D" w14:textId="77777777" w:rsidR="00011863" w:rsidRDefault="00000000">
            <w:pPr>
              <w:pStyle w:val="Compact"/>
            </w:pPr>
            <w:r>
              <w:t>Constant</w:t>
            </w:r>
          </w:p>
        </w:tc>
        <w:tc>
          <w:tcPr>
            <w:tcW w:w="0" w:type="auto"/>
            <w:tcBorders>
              <w:bottom w:val="single" w:sz="0" w:space="0" w:color="auto"/>
            </w:tcBorders>
            <w:vAlign w:val="bottom"/>
          </w:tcPr>
          <w:p w14:paraId="33864185" w14:textId="77777777" w:rsidR="00011863" w:rsidRDefault="00000000">
            <w:pPr>
              <w:pStyle w:val="Compact"/>
            </w:pPr>
            <w:r>
              <w:t>Value</w:t>
            </w:r>
          </w:p>
        </w:tc>
        <w:tc>
          <w:tcPr>
            <w:tcW w:w="0" w:type="auto"/>
            <w:tcBorders>
              <w:bottom w:val="single" w:sz="0" w:space="0" w:color="auto"/>
            </w:tcBorders>
            <w:vAlign w:val="bottom"/>
          </w:tcPr>
          <w:p w14:paraId="408C51F9" w14:textId="77777777" w:rsidR="00011863" w:rsidRDefault="00000000">
            <w:pPr>
              <w:pStyle w:val="Compact"/>
            </w:pPr>
            <w:r>
              <w:t>Used for</w:t>
            </w:r>
          </w:p>
        </w:tc>
      </w:tr>
      <w:tr w:rsidR="00011863" w14:paraId="3C8C12FD" w14:textId="77777777">
        <w:tc>
          <w:tcPr>
            <w:tcW w:w="0" w:type="auto"/>
          </w:tcPr>
          <w:p w14:paraId="252C9D46" w14:textId="77777777" w:rsidR="00011863" w:rsidRDefault="00000000">
            <w:pPr>
              <w:pStyle w:val="Compact"/>
            </w:pPr>
            <w:r>
              <w:t>g (gravity)</w:t>
            </w:r>
          </w:p>
        </w:tc>
        <w:tc>
          <w:tcPr>
            <w:tcW w:w="0" w:type="auto"/>
          </w:tcPr>
          <w:p w14:paraId="3B9A4179" w14:textId="77777777" w:rsidR="00011863" w:rsidRDefault="00000000">
            <w:pPr>
              <w:pStyle w:val="Compact"/>
            </w:pPr>
            <w:r>
              <w:t>32.174 ft/s²</w:t>
            </w:r>
          </w:p>
        </w:tc>
        <w:tc>
          <w:tcPr>
            <w:tcW w:w="0" w:type="auto"/>
          </w:tcPr>
          <w:p w14:paraId="27CE9DE5" w14:textId="77777777" w:rsidR="00011863" w:rsidRDefault="00000000">
            <w:pPr>
              <w:pStyle w:val="Compact"/>
            </w:pPr>
            <w:r>
              <w:t>Trajectory integration, energy calculation</w:t>
            </w:r>
          </w:p>
        </w:tc>
      </w:tr>
      <w:tr w:rsidR="00011863" w14:paraId="51A6FF80" w14:textId="77777777">
        <w:tc>
          <w:tcPr>
            <w:tcW w:w="0" w:type="auto"/>
          </w:tcPr>
          <w:p w14:paraId="64C1419C" w14:textId="77777777" w:rsidR="00011863" w:rsidRDefault="00000000">
            <w:pPr>
              <w:pStyle w:val="Compact"/>
            </w:pPr>
            <w:r>
              <w:t>Ω (Earth’s rotation rate)</w:t>
            </w:r>
          </w:p>
        </w:tc>
        <w:tc>
          <w:tcPr>
            <w:tcW w:w="0" w:type="auto"/>
          </w:tcPr>
          <w:p w14:paraId="64FEE55F" w14:textId="77777777" w:rsidR="00011863" w:rsidRDefault="00000000">
            <w:pPr>
              <w:pStyle w:val="Compact"/>
            </w:pPr>
            <w:r>
              <w:t>7.292115 × 10⁻⁵ rad/s</w:t>
            </w:r>
          </w:p>
        </w:tc>
        <w:tc>
          <w:tcPr>
            <w:tcW w:w="0" w:type="auto"/>
          </w:tcPr>
          <w:p w14:paraId="21B25657" w14:textId="77777777" w:rsidR="00011863" w:rsidRDefault="00000000">
            <w:pPr>
              <w:pStyle w:val="Compact"/>
            </w:pPr>
            <w:r>
              <w:t>Coriolis / Eötvös effect</w:t>
            </w:r>
          </w:p>
        </w:tc>
      </w:tr>
      <w:tr w:rsidR="00011863" w14:paraId="64DE609C" w14:textId="77777777">
        <w:tc>
          <w:tcPr>
            <w:tcW w:w="0" w:type="auto"/>
          </w:tcPr>
          <w:p w14:paraId="0EA4BEAD" w14:textId="77777777" w:rsidR="00011863" w:rsidRDefault="00000000">
            <w:pPr>
              <w:pStyle w:val="Compact"/>
            </w:pPr>
            <w:r>
              <w:t>Standard temperature</w:t>
            </w:r>
          </w:p>
        </w:tc>
        <w:tc>
          <w:tcPr>
            <w:tcW w:w="0" w:type="auto"/>
          </w:tcPr>
          <w:p w14:paraId="613398E9" w14:textId="77777777" w:rsidR="00011863" w:rsidRDefault="00000000">
            <w:pPr>
              <w:pStyle w:val="Compact"/>
            </w:pPr>
            <w:r>
              <w:t>288.15 K (15 °C)</w:t>
            </w:r>
          </w:p>
        </w:tc>
        <w:tc>
          <w:tcPr>
            <w:tcW w:w="0" w:type="auto"/>
          </w:tcPr>
          <w:p w14:paraId="137E06FA" w14:textId="77777777" w:rsidR="00011863" w:rsidRDefault="00000000">
            <w:pPr>
              <w:pStyle w:val="Compact"/>
            </w:pPr>
            <w:r>
              <w:t>Air density ratio, speed of sound</w:t>
            </w:r>
          </w:p>
        </w:tc>
      </w:tr>
      <w:tr w:rsidR="00011863" w14:paraId="1E9E5AB5" w14:textId="77777777">
        <w:tc>
          <w:tcPr>
            <w:tcW w:w="0" w:type="auto"/>
          </w:tcPr>
          <w:p w14:paraId="422D3EED" w14:textId="77777777" w:rsidR="00011863" w:rsidRDefault="00000000">
            <w:pPr>
              <w:pStyle w:val="Compact"/>
            </w:pPr>
            <w:r>
              <w:t>Standard pressure</w:t>
            </w:r>
          </w:p>
        </w:tc>
        <w:tc>
          <w:tcPr>
            <w:tcW w:w="0" w:type="auto"/>
          </w:tcPr>
          <w:p w14:paraId="5CD3E668" w14:textId="77777777" w:rsidR="00011863" w:rsidRDefault="00000000">
            <w:pPr>
              <w:pStyle w:val="Compact"/>
            </w:pPr>
            <w:r>
              <w:t>101325 Pa (1013.25 hPa)</w:t>
            </w:r>
          </w:p>
        </w:tc>
        <w:tc>
          <w:tcPr>
            <w:tcW w:w="0" w:type="auto"/>
          </w:tcPr>
          <w:p w14:paraId="483B1B97" w14:textId="77777777" w:rsidR="00011863" w:rsidRDefault="00000000">
            <w:pPr>
              <w:pStyle w:val="Compact"/>
            </w:pPr>
            <w:r>
              <w:t>Air density ratio</w:t>
            </w:r>
          </w:p>
        </w:tc>
      </w:tr>
      <w:tr w:rsidR="00011863" w14:paraId="6F140FDA" w14:textId="77777777">
        <w:tc>
          <w:tcPr>
            <w:tcW w:w="0" w:type="auto"/>
          </w:tcPr>
          <w:p w14:paraId="3C0A85FB" w14:textId="77777777" w:rsidR="00011863" w:rsidRDefault="00000000">
            <w:pPr>
              <w:pStyle w:val="Compact"/>
            </w:pPr>
            <w:r>
              <w:t>BC standard ratio (G1→G7 estimate)</w:t>
            </w:r>
          </w:p>
        </w:tc>
        <w:tc>
          <w:tcPr>
            <w:tcW w:w="0" w:type="auto"/>
          </w:tcPr>
          <w:p w14:paraId="7AC2B8CF" w14:textId="77777777" w:rsidR="00011863" w:rsidRDefault="00000000">
            <w:pPr>
              <w:pStyle w:val="Compact"/>
            </w:pPr>
            <w:r>
              <w:t>1.9</w:t>
            </w:r>
          </w:p>
        </w:tc>
        <w:tc>
          <w:tcPr>
            <w:tcW w:w="0" w:type="auto"/>
          </w:tcPr>
          <w:p w14:paraId="1B38DA1B" w14:textId="77777777" w:rsidR="00011863" w:rsidRDefault="00000000">
            <w:pPr>
              <w:pStyle w:val="Compact"/>
            </w:pPr>
            <w:r>
              <w:t>Estimating BC(G7) when not entered</w:t>
            </w:r>
          </w:p>
        </w:tc>
      </w:tr>
      <w:tr w:rsidR="00011863" w14:paraId="0BAAC8CB" w14:textId="77777777">
        <w:tc>
          <w:tcPr>
            <w:tcW w:w="0" w:type="auto"/>
          </w:tcPr>
          <w:p w14:paraId="6FB11A6D" w14:textId="77777777" w:rsidR="00011863" w:rsidRDefault="00000000">
            <w:pPr>
              <w:pStyle w:val="Compact"/>
            </w:pPr>
            <w:r>
              <w:t>Spin drift coefficient</w:t>
            </w:r>
          </w:p>
        </w:tc>
        <w:tc>
          <w:tcPr>
            <w:tcW w:w="0" w:type="auto"/>
          </w:tcPr>
          <w:p w14:paraId="784FA794" w14:textId="77777777" w:rsidR="00011863" w:rsidRDefault="00000000">
            <w:pPr>
              <w:pStyle w:val="Compact"/>
            </w:pPr>
            <w:r>
              <w:t>1.25</w:t>
            </w:r>
          </w:p>
        </w:tc>
        <w:tc>
          <w:tcPr>
            <w:tcW w:w="0" w:type="auto"/>
          </w:tcPr>
          <w:p w14:paraId="22DCCCD5" w14:textId="77777777" w:rsidR="00011863" w:rsidRDefault="00000000">
            <w:pPr>
              <w:pStyle w:val="Compact"/>
            </w:pPr>
            <w:r>
              <w:t>Litz spin-drift formula</w:t>
            </w:r>
          </w:p>
        </w:tc>
      </w:tr>
      <w:tr w:rsidR="00011863" w14:paraId="79A1731F" w14:textId="77777777">
        <w:tc>
          <w:tcPr>
            <w:tcW w:w="0" w:type="auto"/>
          </w:tcPr>
          <w:p w14:paraId="31E5DD2D" w14:textId="77777777" w:rsidR="00011863" w:rsidRDefault="00000000">
            <w:pPr>
              <w:pStyle w:val="Compact"/>
            </w:pPr>
            <w:r>
              <w:t>Shape factor — flat-base</w:t>
            </w:r>
          </w:p>
        </w:tc>
        <w:tc>
          <w:tcPr>
            <w:tcW w:w="0" w:type="auto"/>
          </w:tcPr>
          <w:p w14:paraId="5A62E17C" w14:textId="77777777" w:rsidR="00011863" w:rsidRDefault="00000000">
            <w:pPr>
              <w:pStyle w:val="Compact"/>
            </w:pPr>
            <w:r>
              <w:t>×1.00</w:t>
            </w:r>
          </w:p>
        </w:tc>
        <w:tc>
          <w:tcPr>
            <w:tcW w:w="0" w:type="auto"/>
          </w:tcPr>
          <w:p w14:paraId="1E713F98" w14:textId="77777777" w:rsidR="00011863" w:rsidRDefault="00000000">
            <w:pPr>
              <w:pStyle w:val="Compact"/>
            </w:pPr>
            <w:r>
              <w:t>Stability (Sg) correction</w:t>
            </w:r>
          </w:p>
        </w:tc>
      </w:tr>
      <w:tr w:rsidR="00011863" w14:paraId="00B5068E" w14:textId="77777777">
        <w:tc>
          <w:tcPr>
            <w:tcW w:w="0" w:type="auto"/>
          </w:tcPr>
          <w:p w14:paraId="41CA6259" w14:textId="77777777" w:rsidR="00011863" w:rsidRDefault="00000000">
            <w:pPr>
              <w:pStyle w:val="Compact"/>
            </w:pPr>
            <w:r>
              <w:t>Shape factor — boat-tail</w:t>
            </w:r>
          </w:p>
        </w:tc>
        <w:tc>
          <w:tcPr>
            <w:tcW w:w="0" w:type="auto"/>
          </w:tcPr>
          <w:p w14:paraId="0C2BD45D" w14:textId="77777777" w:rsidR="00011863" w:rsidRDefault="00000000">
            <w:pPr>
              <w:pStyle w:val="Compact"/>
            </w:pPr>
            <w:r>
              <w:t>×1.08</w:t>
            </w:r>
          </w:p>
        </w:tc>
        <w:tc>
          <w:tcPr>
            <w:tcW w:w="0" w:type="auto"/>
          </w:tcPr>
          <w:p w14:paraId="087EBA12" w14:textId="77777777" w:rsidR="00011863" w:rsidRDefault="00000000">
            <w:pPr>
              <w:pStyle w:val="Compact"/>
            </w:pPr>
            <w:r>
              <w:t>Stability (Sg) correction</w:t>
            </w:r>
          </w:p>
        </w:tc>
      </w:tr>
      <w:tr w:rsidR="00011863" w14:paraId="6DF767C2" w14:textId="77777777">
        <w:tc>
          <w:tcPr>
            <w:tcW w:w="0" w:type="auto"/>
          </w:tcPr>
          <w:p w14:paraId="3BC92A09" w14:textId="77777777" w:rsidR="00011863" w:rsidRDefault="00000000">
            <w:pPr>
              <w:pStyle w:val="Compact"/>
            </w:pPr>
            <w:r>
              <w:t>Shape factor — diabolo pellet</w:t>
            </w:r>
          </w:p>
        </w:tc>
        <w:tc>
          <w:tcPr>
            <w:tcW w:w="0" w:type="auto"/>
          </w:tcPr>
          <w:p w14:paraId="2F5E7ACE" w14:textId="77777777" w:rsidR="00011863" w:rsidRDefault="00000000">
            <w:pPr>
              <w:pStyle w:val="Compact"/>
            </w:pPr>
            <w:r>
              <w:t>×1.20</w:t>
            </w:r>
          </w:p>
        </w:tc>
        <w:tc>
          <w:tcPr>
            <w:tcW w:w="0" w:type="auto"/>
          </w:tcPr>
          <w:p w14:paraId="569A067A" w14:textId="77777777" w:rsidR="00011863" w:rsidRDefault="00000000">
            <w:pPr>
              <w:pStyle w:val="Compact"/>
            </w:pPr>
            <w:r>
              <w:t>Stability (Sg) correction</w:t>
            </w:r>
          </w:p>
        </w:tc>
      </w:tr>
      <w:tr w:rsidR="00011863" w14:paraId="704CAA4B" w14:textId="77777777">
        <w:tc>
          <w:tcPr>
            <w:tcW w:w="0" w:type="auto"/>
          </w:tcPr>
          <w:p w14:paraId="47547DD4" w14:textId="77777777" w:rsidR="00011863" w:rsidRDefault="00000000">
            <w:pPr>
              <w:pStyle w:val="Compact"/>
            </w:pPr>
            <w:r>
              <w:t>Greenhill constant (MV &lt; 2700 fps)</w:t>
            </w:r>
          </w:p>
        </w:tc>
        <w:tc>
          <w:tcPr>
            <w:tcW w:w="0" w:type="auto"/>
          </w:tcPr>
          <w:p w14:paraId="0F6C0DB4" w14:textId="77777777" w:rsidR="00011863" w:rsidRDefault="00000000">
            <w:pPr>
              <w:pStyle w:val="Compact"/>
            </w:pPr>
            <w:r>
              <w:t>150</w:t>
            </w:r>
          </w:p>
        </w:tc>
        <w:tc>
          <w:tcPr>
            <w:tcW w:w="0" w:type="auto"/>
          </w:tcPr>
          <w:p w14:paraId="3F566425" w14:textId="77777777" w:rsidR="00011863" w:rsidRDefault="00000000">
            <w:pPr>
              <w:pStyle w:val="Compact"/>
            </w:pPr>
            <w:r>
              <w:t>Alternative twist-rate rule</w:t>
            </w:r>
          </w:p>
        </w:tc>
      </w:tr>
      <w:tr w:rsidR="00011863" w14:paraId="0CDB48AF" w14:textId="77777777">
        <w:tc>
          <w:tcPr>
            <w:tcW w:w="0" w:type="auto"/>
          </w:tcPr>
          <w:p w14:paraId="482DEAB1" w14:textId="77777777" w:rsidR="00011863" w:rsidRDefault="00000000">
            <w:pPr>
              <w:pStyle w:val="Compact"/>
            </w:pPr>
            <w:r>
              <w:t xml:space="preserve">Greenhill constant (MV ≥ </w:t>
            </w:r>
            <w:r>
              <w:lastRenderedPageBreak/>
              <w:t>2700 fps)</w:t>
            </w:r>
          </w:p>
        </w:tc>
        <w:tc>
          <w:tcPr>
            <w:tcW w:w="0" w:type="auto"/>
          </w:tcPr>
          <w:p w14:paraId="24917446" w14:textId="77777777" w:rsidR="00011863" w:rsidRDefault="00000000">
            <w:pPr>
              <w:pStyle w:val="Compact"/>
            </w:pPr>
            <w:r>
              <w:lastRenderedPageBreak/>
              <w:t>180</w:t>
            </w:r>
          </w:p>
        </w:tc>
        <w:tc>
          <w:tcPr>
            <w:tcW w:w="0" w:type="auto"/>
          </w:tcPr>
          <w:p w14:paraId="7B267173" w14:textId="77777777" w:rsidR="00011863" w:rsidRDefault="00000000">
            <w:pPr>
              <w:pStyle w:val="Compact"/>
            </w:pPr>
            <w:r>
              <w:t>Alternative twist-rate rule</w:t>
            </w:r>
          </w:p>
        </w:tc>
      </w:tr>
      <w:tr w:rsidR="00011863" w14:paraId="6760D36A" w14:textId="77777777">
        <w:tc>
          <w:tcPr>
            <w:tcW w:w="0" w:type="auto"/>
          </w:tcPr>
          <w:p w14:paraId="53801772" w14:textId="77777777" w:rsidR="00011863" w:rsidRDefault="00000000">
            <w:pPr>
              <w:pStyle w:val="Compact"/>
            </w:pPr>
            <w:r>
              <w:t>1 MOA</w:t>
            </w:r>
          </w:p>
        </w:tc>
        <w:tc>
          <w:tcPr>
            <w:tcW w:w="0" w:type="auto"/>
          </w:tcPr>
          <w:p w14:paraId="74106141" w14:textId="77777777" w:rsidR="00011863" w:rsidRDefault="00000000">
            <w:pPr>
              <w:pStyle w:val="Compact"/>
            </w:pPr>
            <w:r>
              <w:t>1.0472 in @ 100 yd</w:t>
            </w:r>
          </w:p>
        </w:tc>
        <w:tc>
          <w:tcPr>
            <w:tcW w:w="0" w:type="auto"/>
          </w:tcPr>
          <w:p w14:paraId="336FE995" w14:textId="77777777" w:rsidR="00011863" w:rsidRDefault="00000000">
            <w:pPr>
              <w:pStyle w:val="Compact"/>
            </w:pPr>
            <w:r>
              <w:t>Angular holdover conversion</w:t>
            </w:r>
          </w:p>
        </w:tc>
      </w:tr>
      <w:tr w:rsidR="00011863" w14:paraId="3E075F62" w14:textId="77777777">
        <w:tc>
          <w:tcPr>
            <w:tcW w:w="0" w:type="auto"/>
          </w:tcPr>
          <w:p w14:paraId="089B84FE" w14:textId="77777777" w:rsidR="00011863" w:rsidRDefault="00000000">
            <w:pPr>
              <w:pStyle w:val="Compact"/>
            </w:pPr>
            <w:r>
              <w:t>1 mil</w:t>
            </w:r>
          </w:p>
        </w:tc>
        <w:tc>
          <w:tcPr>
            <w:tcW w:w="0" w:type="auto"/>
          </w:tcPr>
          <w:p w14:paraId="5149C4F0" w14:textId="77777777" w:rsidR="00011863" w:rsidRDefault="00000000">
            <w:pPr>
              <w:pStyle w:val="Compact"/>
            </w:pPr>
            <w:r>
              <w:t>0.036 in @ 1 yd (3.6 in @ 100 yd)</w:t>
            </w:r>
          </w:p>
        </w:tc>
        <w:tc>
          <w:tcPr>
            <w:tcW w:w="0" w:type="auto"/>
          </w:tcPr>
          <w:p w14:paraId="1614FBAA" w14:textId="77777777" w:rsidR="00011863" w:rsidRDefault="00000000">
            <w:pPr>
              <w:pStyle w:val="Compact"/>
            </w:pPr>
            <w:r>
              <w:t>Angular holdover conversion</w:t>
            </w:r>
          </w:p>
        </w:tc>
      </w:tr>
      <w:tr w:rsidR="00011863" w14:paraId="1656152F" w14:textId="77777777">
        <w:tc>
          <w:tcPr>
            <w:tcW w:w="0" w:type="auto"/>
          </w:tcPr>
          <w:p w14:paraId="3BE2F60A" w14:textId="77777777" w:rsidR="00011863" w:rsidRDefault="00000000">
            <w:pPr>
              <w:pStyle w:val="Compact"/>
            </w:pPr>
            <w:r>
              <w:t>ft·lb → J</w:t>
            </w:r>
          </w:p>
        </w:tc>
        <w:tc>
          <w:tcPr>
            <w:tcW w:w="0" w:type="auto"/>
          </w:tcPr>
          <w:p w14:paraId="0D05A365" w14:textId="77777777" w:rsidR="00011863" w:rsidRDefault="00000000">
            <w:pPr>
              <w:pStyle w:val="Compact"/>
            </w:pPr>
            <w:r>
              <w:t>× 1.35582</w:t>
            </w:r>
          </w:p>
        </w:tc>
        <w:tc>
          <w:tcPr>
            <w:tcW w:w="0" w:type="auto"/>
          </w:tcPr>
          <w:p w14:paraId="2C5A114A" w14:textId="77777777" w:rsidR="00011863" w:rsidRDefault="00000000">
            <w:pPr>
              <w:pStyle w:val="Compact"/>
            </w:pPr>
            <w:r>
              <w:t>Energy display conversion</w:t>
            </w:r>
          </w:p>
        </w:tc>
      </w:tr>
      <w:tr w:rsidR="00011863" w14:paraId="7A9AF989" w14:textId="77777777">
        <w:tc>
          <w:tcPr>
            <w:tcW w:w="0" w:type="auto"/>
          </w:tcPr>
          <w:p w14:paraId="7F77629E" w14:textId="77777777" w:rsidR="00011863" w:rsidRDefault="00000000">
            <w:pPr>
              <w:pStyle w:val="Compact"/>
            </w:pPr>
            <w:r>
              <w:t>Grains per pound</w:t>
            </w:r>
          </w:p>
        </w:tc>
        <w:tc>
          <w:tcPr>
            <w:tcW w:w="0" w:type="auto"/>
          </w:tcPr>
          <w:p w14:paraId="220F5098" w14:textId="77777777" w:rsidR="00011863" w:rsidRDefault="00000000">
            <w:pPr>
              <w:pStyle w:val="Compact"/>
            </w:pPr>
            <w:r>
              <w:t>7000</w:t>
            </w:r>
          </w:p>
        </w:tc>
        <w:tc>
          <w:tcPr>
            <w:tcW w:w="0" w:type="auto"/>
          </w:tcPr>
          <w:p w14:paraId="4093A12C" w14:textId="77777777" w:rsidR="00011863" w:rsidRDefault="00000000">
            <w:pPr>
              <w:pStyle w:val="Compact"/>
            </w:pPr>
            <w:r>
              <w:t>Energy calculation mass conversion</w:t>
            </w:r>
          </w:p>
        </w:tc>
      </w:tr>
      <w:tr w:rsidR="00011863" w14:paraId="3CE6E59E" w14:textId="77777777">
        <w:tc>
          <w:tcPr>
            <w:tcW w:w="0" w:type="auto"/>
          </w:tcPr>
          <w:p w14:paraId="2663F3D5" w14:textId="77777777" w:rsidR="00011863" w:rsidRDefault="00000000">
            <w:pPr>
              <w:pStyle w:val="Compact"/>
            </w:pPr>
            <w:r>
              <w:t>Integration step</w:t>
            </w:r>
          </w:p>
        </w:tc>
        <w:tc>
          <w:tcPr>
            <w:tcW w:w="0" w:type="auto"/>
          </w:tcPr>
          <w:p w14:paraId="638DFDFB" w14:textId="77777777" w:rsidR="00011863" w:rsidRDefault="00000000">
            <w:pPr>
              <w:pStyle w:val="Compact"/>
            </w:pPr>
            <w:r>
              <w:t>3 ft (1 yd)</w:t>
            </w:r>
          </w:p>
        </w:tc>
        <w:tc>
          <w:tcPr>
            <w:tcW w:w="0" w:type="auto"/>
          </w:tcPr>
          <w:p w14:paraId="59556A96" w14:textId="77777777" w:rsidR="00011863" w:rsidRDefault="00000000">
            <w:pPr>
              <w:pStyle w:val="Compact"/>
            </w:pPr>
            <w:r>
              <w:t>RK4 trajectory integration</w:t>
            </w:r>
          </w:p>
        </w:tc>
      </w:tr>
      <w:tr w:rsidR="00011863" w14:paraId="6E5127DE" w14:textId="77777777">
        <w:tc>
          <w:tcPr>
            <w:tcW w:w="0" w:type="auto"/>
          </w:tcPr>
          <w:p w14:paraId="0103B22C" w14:textId="77777777" w:rsidR="00011863" w:rsidRDefault="00000000">
            <w:pPr>
              <w:pStyle w:val="Compact"/>
            </w:pPr>
            <w:r>
              <w:t>Trajectory Truing search range</w:t>
            </w:r>
          </w:p>
        </w:tc>
        <w:tc>
          <w:tcPr>
            <w:tcW w:w="0" w:type="auto"/>
          </w:tcPr>
          <w:p w14:paraId="05D6F850" w14:textId="77777777" w:rsidR="00011863" w:rsidRDefault="00000000">
            <w:pPr>
              <w:pStyle w:val="Compact"/>
            </w:pPr>
            <w:r>
              <w:t>BC multiplier 0.3–2.5</w:t>
            </w:r>
          </w:p>
        </w:tc>
        <w:tc>
          <w:tcPr>
            <w:tcW w:w="0" w:type="auto"/>
          </w:tcPr>
          <w:p w14:paraId="2300BCA1" w14:textId="77777777" w:rsidR="00011863" w:rsidRDefault="00000000">
            <w:pPr>
              <w:pStyle w:val="Compact"/>
            </w:pPr>
            <w:r>
              <w:t>Empirical BC calibration</w:t>
            </w:r>
          </w:p>
        </w:tc>
      </w:tr>
    </w:tbl>
    <w:p w14:paraId="3A735AC2"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37A89A" w14:textId="77777777" w:rsidR="005B60BE" w:rsidRDefault="005B60BE">
      <w:pPr>
        <w:spacing w:after="0"/>
      </w:pPr>
      <w:r>
        <w:separator/>
      </w:r>
    </w:p>
  </w:endnote>
  <w:endnote w:type="continuationSeparator" w:id="0">
    <w:p w14:paraId="4DDB7244" w14:textId="77777777" w:rsidR="005B60BE" w:rsidRDefault="005B60B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841216" w14:textId="77777777" w:rsidR="005B60BE" w:rsidRDefault="005B60BE">
      <w:r>
        <w:separator/>
      </w:r>
    </w:p>
  </w:footnote>
  <w:footnote w:type="continuationSeparator" w:id="0">
    <w:p w14:paraId="5C1180BB" w14:textId="77777777" w:rsidR="005B60BE" w:rsidRDefault="005B60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863"/>
    <w:rsid w:val="00011C8B"/>
    <w:rsid w:val="00130B18"/>
    <w:rsid w:val="00234663"/>
    <w:rsid w:val="002C29EB"/>
    <w:rsid w:val="004E29B3"/>
    <w:rsid w:val="00590D07"/>
    <w:rsid w:val="005B60BE"/>
    <w:rsid w:val="00784D58"/>
    <w:rsid w:val="008D6863"/>
    <w:rsid w:val="008F469A"/>
    <w:rsid w:val="00B133C1"/>
    <w:rsid w:val="00B86B75"/>
    <w:rsid w:val="00BC48D5"/>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0C6D9E34"/>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11</Pages>
  <Words>3869</Words>
  <Characters>21362</Characters>
  <Application>Microsoft Office Word</Application>
  <DocSecurity>0</DocSecurity>
  <Lines>464</Lines>
  <Paragraphs>227</Paragraphs>
  <ScaleCrop>false</ScaleCrop>
  <Company/>
  <LinksUpToDate>false</LinksUpToDate>
  <CharactersWithSpaces>25004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3</cp:revision>
  <cp:lastPrinted>2026-07-23T22:03:00Z</cp:lastPrinted>
  <dcterms:created xsi:type="dcterms:W3CDTF">2026-07-23T12:10:00Z</dcterms:created>
  <dcterms:modified xsi:type="dcterms:W3CDTF">2026-07-23T22:03:00Z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