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pPr>
        <w:pStyle w:val="Heading2"/>
      </w:pPr>
      <w:bookmarkStart w:id="201" w:name="doppler-bc-fit"/>
      <w:r>
        <w:t>16. Fitting BC from Multi-Point Doppler/Velocity Data</w:t>
      </w:r>
      <w:bookmarkEnd w:id="201"/>
    </w:p>
    <w:p>
      <w:pPr>
        <w:pStyle w:val="FirstParagraph"/>
      </w:pPr>
      <w:r>
        <w:t xml:space="preserve">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pPr>
        <w:pStyle w:val="BodyText"/>
      </w:pPr>
      <w:r>
        <w:t xml:space="preserve">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pPr>
        <w:pStyle w:val="BodyText"/>
      </w:pPr>
      <w:r>
        <w:t xml:space="preserve">For a trial multiplier m, the model is evaluated once via a dense (every-yard) trajectory pass with BC = baseBC × m, and each entered distance is matched to its nearest sampled yard. The objective minimized is the sum of squared velocity residuals:</w:t>
      </w:r>
    </w:p>
    <w:p>
      <w:pPr>
        <w:pStyle w:val="SourceCode"/>
      </w:pPr>
      <w:r>
        <w:rPr>
          <w:rStyle w:val="VerbatimChar"/>
        </w:rPr>
        <w:t>SSE(m) = Σᵢ (v_model(dᵢ, m) − v_observedᵢ)²</w:t>
      </w:r>
    </w:p>
    <w:p>
      <w:pPr>
        <w:pStyle w:val="BodyText"/>
      </w:pPr>
      <w:r>
        <w:t xml:space="preserve">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pPr>
        <w:pStyle w:val="BodyText"/>
      </w:pPr>
      <w:r>
        <w:t xml:space="preserve">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pPr>
        <w:pStyle w:val="BodyText"/>
      </w:pPr>
      <w:r>
        <w:t xml:space="preserve">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