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D99B" w14:textId="622FD692" w:rsidR="00B20321" w:rsidRPr="002E3AF6" w:rsidRDefault="00000000" w:rsidP="002E3AF6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4.2. Análise macro (PEST ou PESTEL)</w:t>
      </w:r>
    </w:p>
    <w:p w14:paraId="3E08E262" w14:textId="77777777" w:rsidR="006472A8" w:rsidRDefault="006472A8" w:rsidP="006472A8">
      <w:pPr>
        <w:shd w:val="clear" w:color="auto" w:fill="FFFFFF"/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Ambiente Demográfico:</w:t>
      </w:r>
    </w:p>
    <w:p w14:paraId="75E19294" w14:textId="763F4F16" w:rsidR="006472A8" w:rsidRDefault="006472A8" w:rsidP="006472A8">
      <w:pPr>
        <w:shd w:val="clear" w:color="auto" w:fill="FFFFFF"/>
        <w:spacing w:before="240"/>
        <w:ind w:firstLine="720"/>
      </w:pPr>
      <w:r>
        <w:t>O museu recebe visitantes de todas as idades, desde alunos que procuram aprender sobre arte até idosos que apreciam a riqueza cultural. Os programas educacionais e as exposições visam atrair um</w:t>
      </w:r>
      <w:r w:rsidR="00123DE4">
        <w:t xml:space="preserve"> leque</w:t>
      </w:r>
      <w:r>
        <w:t xml:space="preserve"> de faixas etárias, oferecendo uma experiência enriquecedora para todos. A oferta cultural do museu é apreciada tanto pela comunidade local, como pelos visitantes internacionais.</w:t>
      </w:r>
    </w:p>
    <w:p w14:paraId="0D6E034A" w14:textId="77777777" w:rsidR="00B20321" w:rsidRDefault="00000000">
      <w:pPr>
        <w:shd w:val="clear" w:color="auto" w:fill="FFFFFF"/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Ambiente Económico:</w:t>
      </w:r>
    </w:p>
    <w:p w14:paraId="79C2C40A" w14:textId="77777777" w:rsidR="00E915F6" w:rsidRDefault="0016422A">
      <w:pPr>
        <w:shd w:val="clear" w:color="auto" w:fill="FFFFFF"/>
        <w:spacing w:before="240"/>
        <w:ind w:firstLine="720"/>
      </w:pPr>
      <w:r>
        <w:t>concorrentes?</w:t>
      </w:r>
      <w:r w:rsidR="00E915F6" w:rsidRPr="00E915F6">
        <w:t xml:space="preserve"> </w:t>
      </w:r>
      <w:r w:rsidR="00E915F6">
        <w:t xml:space="preserve">: </w:t>
      </w:r>
    </w:p>
    <w:p w14:paraId="5EDBBE4B" w14:textId="27F4EA07" w:rsidR="006A5E78" w:rsidRDefault="00E915F6">
      <w:pPr>
        <w:shd w:val="clear" w:color="auto" w:fill="FFFFFF"/>
        <w:spacing w:before="240"/>
        <w:ind w:firstLine="720"/>
      </w:pPr>
      <w:r>
        <w:t>falta de apoios para cultura</w:t>
      </w:r>
    </w:p>
    <w:p w14:paraId="5080F537" w14:textId="42EFD7F1" w:rsidR="00B20321" w:rsidRDefault="00000000">
      <w:pPr>
        <w:shd w:val="clear" w:color="auto" w:fill="FFFFFF"/>
        <w:spacing w:before="240"/>
        <w:ind w:firstLine="720"/>
      </w:pPr>
      <w:r>
        <w:t xml:space="preserve"> O museu mantém uma conexão forte entre o crescimento cultural e a dinâmica do setor turístico da região, enquanto muda estratégias de preços e procura soluções inovadoras durante os períodos de crise económica. Essa relação entre a gestão do museu e as questões financeiras enfatiza a necessidade de uma abordagem flexível e adaptável para garantir a sustentabilidade financeira e a relevância cultural.</w:t>
      </w:r>
    </w:p>
    <w:p w14:paraId="7E4C15D2" w14:textId="77777777" w:rsidR="00B20321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Ambiente Cultural</w:t>
      </w:r>
    </w:p>
    <w:p w14:paraId="05A09FEF" w14:textId="77777777" w:rsidR="00E915F6" w:rsidRDefault="00E915F6">
      <w:pPr>
        <w:spacing w:before="240"/>
        <w:rPr>
          <w:b/>
          <w:sz w:val="24"/>
          <w:szCs w:val="24"/>
        </w:rPr>
      </w:pPr>
    </w:p>
    <w:p w14:paraId="47EE0722" w14:textId="2BC8C931" w:rsidR="00B20321" w:rsidRDefault="00000000">
      <w:pPr>
        <w:spacing w:before="240"/>
      </w:pPr>
      <w:r>
        <w:t>N</w:t>
      </w:r>
      <w:r w:rsidR="0016422A">
        <w:t>uma tentativa</w:t>
      </w:r>
      <w:r>
        <w:t xml:space="preserve"> de retratar a sociedade portuguesa</w:t>
      </w:r>
      <w:r w:rsidR="0016422A">
        <w:t xml:space="preserve"> no</w:t>
      </w:r>
      <w:r w:rsidR="00E86E7E">
        <w:t xml:space="preserve"> que toca</w:t>
      </w:r>
      <w:r w:rsidR="0016422A">
        <w:t xml:space="preserve"> ao</w:t>
      </w:r>
      <w:r>
        <w:t xml:space="preserve"> setor cultural e vertentes que o Museu integra, analisámos os dados do Relatório European Values Study (EVS), </w:t>
      </w:r>
      <w:r w:rsidR="0016422A">
        <w:t>presentes n</w:t>
      </w:r>
      <w:r>
        <w:t>o artigo “Os valores dos portugueses - Resultados do European Values Study” e o “Inquérito às Práticas Culturais dos Portugueses 2020”, encomendado pela Fundação Calouste Gulbenkian ao Instituto de Ciências Sociais (ICS).</w:t>
      </w:r>
    </w:p>
    <w:p w14:paraId="11948848" w14:textId="7E4DF68C" w:rsidR="00B20321" w:rsidRDefault="00000000">
      <w:pPr>
        <w:spacing w:before="240"/>
      </w:pPr>
      <w:r>
        <w:t xml:space="preserve">Os resultados do Inquérito refletem que, nos doze meses anteriores ao início da pandemia, </w:t>
      </w:r>
      <w:r w:rsidR="00E86E7E">
        <w:t>apenas</w:t>
      </w:r>
      <w:r>
        <w:t xml:space="preserve"> 28% dos inquiridos visitaram museus e 11% galerias de arte, e os hábitos de uso de sites de museus, monumentos históricos, arqueológicos e galerias de arte não se intensificaram, mesmo com o encerramento temporário dos museus. A percentagem de frequência de visitas a museus através da Internet fica aquém dos valores obtidos nas demais atividades culturais - 40% passou a ver mais filmes e séries online; 21% a ler mais livros, jornais e revistas online; e 16% a ver mais espetáculos de música. </w:t>
      </w:r>
    </w:p>
    <w:p w14:paraId="63939323" w14:textId="77777777" w:rsidR="00E915F6" w:rsidRDefault="00E915F6">
      <w:pPr>
        <w:spacing w:before="240"/>
      </w:pPr>
    </w:p>
    <w:p w14:paraId="6FF8FD08" w14:textId="35E92576" w:rsidR="00E915F6" w:rsidRDefault="00E915F6" w:rsidP="00E915F6">
      <w:r>
        <w:t>difícil atrair jovens quando estão a sair do pais, difícil atrair velhos que se têm interesse já la foram bastante vezes</w:t>
      </w:r>
    </w:p>
    <w:p w14:paraId="0A3CFF56" w14:textId="0FF8631B" w:rsidR="00B20321" w:rsidRDefault="00E915F6">
      <w:pPr>
        <w:spacing w:before="240"/>
      </w:pPr>
      <w:r>
        <w:t xml:space="preserve">Como se apura nas características socioeconómicas dos visitantes que foram a </w:t>
      </w:r>
      <w:r w:rsidR="00000000">
        <w:t xml:space="preserve">espaços patrimoniais recentemente, quase metade pertence ao grupo etário dos 15-24 anos; 70% possuem educação superior e mesmo no que toca à atual situação de trabalho os estudantes dominam com 58%; as mulheres predominam no grupo dos visitantes de </w:t>
      </w:r>
      <w:r w:rsidR="00000000">
        <w:lastRenderedPageBreak/>
        <w:t>museus e galerias de arte, enquanto os inquiridos masculinos se destacam entre os visitantes de monumentos históricos e sítios arqueológicos.</w:t>
      </w:r>
      <w:r w:rsidR="00000000">
        <w:br/>
      </w:r>
    </w:p>
    <w:p w14:paraId="611C3D2A" w14:textId="77777777" w:rsidR="00B20321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Ambiente Tecnológico</w:t>
      </w:r>
    </w:p>
    <w:p w14:paraId="13635392" w14:textId="08B54195" w:rsidR="00B20321" w:rsidRDefault="00000000">
      <w:pPr>
        <w:spacing w:before="240" w:after="240"/>
      </w:pPr>
      <w:r>
        <w:t>O Museu da Fundação Calouste Gulbenkian implementou tecnologias inovadoras para enriquecer a experiência dos visitantes. Através de um</w:t>
      </w:r>
      <w:r w:rsidR="007C1FF2">
        <w:t>a aplicação</w:t>
      </w:r>
      <w:r>
        <w:t xml:space="preserve">, os visitantes têm acesso a guias de áudio detalhados sobre as coleções, oferecendo informações adicionais e histórias por trás das obras expostas. Além disso, telas interativas estrategicamente posicionadas fornecem detalhes contextuais sobre as peças, permitindo uma imersão mais profunda na arte e na história. </w:t>
      </w:r>
      <w:r w:rsidR="007C1FF2">
        <w:t>As obras ainda não têm qr codes perto delas mas a aplicação já está pronta para os utilizar.</w:t>
      </w:r>
      <w:r w:rsidR="00123DE4">
        <w:t xml:space="preserve"> </w:t>
      </w:r>
      <w:r>
        <w:t>Es</w:t>
      </w:r>
      <w:r w:rsidR="007C1FF2">
        <w:t>t</w:t>
      </w:r>
      <w:r>
        <w:t xml:space="preserve">as tecnologias não modernizam </w:t>
      </w:r>
      <w:r w:rsidR="00EE3717">
        <w:t xml:space="preserve">apenas </w:t>
      </w:r>
      <w:r>
        <w:t>a visita, mas também enriquecem a conexão dos visitantes com o museu, tornando a experiência mais envolvente e informativa.</w:t>
      </w:r>
    </w:p>
    <w:p w14:paraId="6489BD50" w14:textId="77777777" w:rsidR="00B20321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4.3. Análise SWOT</w:t>
      </w:r>
    </w:p>
    <w:p w14:paraId="477F28E4" w14:textId="77777777" w:rsidR="00B20321" w:rsidRDefault="00B20321">
      <w:pPr>
        <w:spacing w:before="240"/>
      </w:pPr>
    </w:p>
    <w:tbl>
      <w:tblPr>
        <w:tblStyle w:val="a"/>
        <w:tblpPr w:leftFromText="180" w:rightFromText="180" w:topFromText="180" w:bottomFromText="180" w:vertAnchor="text" w:tblpX="105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90"/>
      </w:tblGrid>
      <w:tr w:rsidR="00B20321" w14:paraId="0B2A7BB8" w14:textId="77777777">
        <w:trPr>
          <w:trHeight w:val="596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08A0B" w14:textId="77777777" w:rsidR="00B20321" w:rsidRDefault="00000000">
            <w:pPr>
              <w:spacing w:before="240"/>
            </w:pPr>
            <w:r>
              <w:t>Pontos fortes (S)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CB252" w14:textId="77777777" w:rsidR="00B20321" w:rsidRDefault="00000000">
            <w:pPr>
              <w:spacing w:before="240"/>
            </w:pPr>
            <w:r>
              <w:t>S1. Coleção grande de obras de arte</w:t>
            </w:r>
          </w:p>
          <w:p w14:paraId="57E1C409" w14:textId="77777777" w:rsidR="00B20321" w:rsidRDefault="00000000">
            <w:pPr>
              <w:spacing w:before="240"/>
            </w:pPr>
            <w:r>
              <w:t>S2. Localização no centro da cidade</w:t>
            </w:r>
          </w:p>
        </w:tc>
      </w:tr>
      <w:tr w:rsidR="00B20321" w14:paraId="4E37D932" w14:textId="77777777">
        <w:trPr>
          <w:trHeight w:val="1217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8EB47" w14:textId="77777777" w:rsidR="00B20321" w:rsidRDefault="00000000">
            <w:pPr>
              <w:spacing w:before="240"/>
            </w:pPr>
            <w:r>
              <w:t>Pontos fracos (W)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6EDCA" w14:textId="77777777" w:rsidR="00B20321" w:rsidRDefault="00000000">
            <w:pPr>
              <w:spacing w:before="240"/>
            </w:pPr>
            <w:r>
              <w:t xml:space="preserve">W1. Dependência de ativos financeiros </w:t>
            </w:r>
          </w:p>
          <w:p w14:paraId="059D46E9" w14:textId="77777777" w:rsidR="00B20321" w:rsidRDefault="00000000">
            <w:pPr>
              <w:spacing w:before="240"/>
            </w:pPr>
            <w:r>
              <w:t>W2. Elevados custos de manutenção e conservação das obras</w:t>
            </w:r>
          </w:p>
          <w:p w14:paraId="7DB61B07" w14:textId="77777777" w:rsidR="00B20321" w:rsidRDefault="00000000">
            <w:pPr>
              <w:spacing w:before="240"/>
            </w:pPr>
            <w:r>
              <w:t>W3. Desafios em destacar-se entre outros museus de arte</w:t>
            </w:r>
          </w:p>
        </w:tc>
      </w:tr>
      <w:tr w:rsidR="00B20321" w14:paraId="56A8444A" w14:textId="77777777">
        <w:trPr>
          <w:trHeight w:val="776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44488" w14:textId="77777777" w:rsidR="00B20321" w:rsidRDefault="00000000">
            <w:pPr>
              <w:spacing w:before="240"/>
            </w:pPr>
            <w:r>
              <w:t>Oportunidades (O)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5E86E" w14:textId="77777777" w:rsidR="00B20321" w:rsidRDefault="00000000">
            <w:pPr>
              <w:spacing w:before="240"/>
            </w:pPr>
            <w:r>
              <w:t>O1. Integração de Tecnologia</w:t>
            </w:r>
          </w:p>
          <w:p w14:paraId="11828155" w14:textId="77777777" w:rsidR="00B20321" w:rsidRDefault="00000000">
            <w:pPr>
              <w:spacing w:before="240"/>
            </w:pPr>
            <w:r>
              <w:t>O2. Parcerias com instituições de ensino</w:t>
            </w:r>
          </w:p>
        </w:tc>
      </w:tr>
      <w:tr w:rsidR="00B20321" w14:paraId="1D479945" w14:textId="77777777">
        <w:trPr>
          <w:trHeight w:val="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09D62" w14:textId="77777777" w:rsidR="00B20321" w:rsidRDefault="00000000">
            <w:pPr>
              <w:spacing w:before="240"/>
            </w:pPr>
            <w:r>
              <w:t>Ameaças (T)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26B8D" w14:textId="77777777" w:rsidR="00B20321" w:rsidRDefault="00000000">
            <w:r>
              <w:t xml:space="preserve">A1. Concorrência com outras instituições Culturais; </w:t>
            </w:r>
          </w:p>
          <w:p w14:paraId="7AD4EDD7" w14:textId="77777777" w:rsidR="00B20321" w:rsidRDefault="00B20321"/>
          <w:p w14:paraId="55B5476B" w14:textId="77777777" w:rsidR="00B20321" w:rsidRDefault="00000000">
            <w:r>
              <w:t xml:space="preserve">A2. Escassez de Doações; </w:t>
            </w:r>
          </w:p>
          <w:p w14:paraId="2681A685" w14:textId="77777777" w:rsidR="00B20321" w:rsidRDefault="00B20321"/>
          <w:p w14:paraId="56DDFD34" w14:textId="77777777" w:rsidR="00B20321" w:rsidRDefault="00000000">
            <w:r>
              <w:t>A3. Necessidade de adaptação a avanços tecnológicos (para manter a relevância).</w:t>
            </w:r>
          </w:p>
        </w:tc>
      </w:tr>
    </w:tbl>
    <w:p w14:paraId="5ECFBCB0" w14:textId="77777777" w:rsidR="00B20321" w:rsidRDefault="00000000">
      <w:pPr>
        <w:spacing w:before="240" w:after="240"/>
      </w:pPr>
      <w:r>
        <w:t xml:space="preserve"> S2 x O2 - A boa localização facilita parcerias com instituições de ensino, entre outras.</w:t>
      </w:r>
    </w:p>
    <w:p w14:paraId="628696DC" w14:textId="77777777" w:rsidR="00B20321" w:rsidRDefault="00000000">
      <w:pPr>
        <w:spacing w:before="240" w:after="240"/>
      </w:pPr>
      <w:r>
        <w:t xml:space="preserve"> A2 x W2 - Os elevados custos podem ser insuportáveis caso os fundos monetários não sejam suficientes. </w:t>
      </w:r>
    </w:p>
    <w:p w14:paraId="6056577A" w14:textId="77777777" w:rsidR="00B20321" w:rsidRDefault="00000000">
      <w:pPr>
        <w:spacing w:before="240" w:after="240"/>
      </w:pPr>
      <w:r>
        <w:lastRenderedPageBreak/>
        <w:t xml:space="preserve">W3 x O1 - A integração de tecnologia de formas criativas pode ajudar para o museu se destacar dos demais. </w:t>
      </w:r>
    </w:p>
    <w:p w14:paraId="6B66D030" w14:textId="77777777" w:rsidR="00B20321" w:rsidRDefault="00000000">
      <w:pPr>
        <w:spacing w:before="360" w:after="80"/>
        <w:rPr>
          <w:b/>
          <w:sz w:val="24"/>
          <w:szCs w:val="24"/>
        </w:rPr>
      </w:pPr>
      <w:r>
        <w:rPr>
          <w:b/>
          <w:sz w:val="24"/>
          <w:szCs w:val="24"/>
        </w:rPr>
        <w:t>Pontos Fortes</w:t>
      </w:r>
    </w:p>
    <w:p w14:paraId="624DBEB7" w14:textId="515962EC" w:rsidR="00B20321" w:rsidRDefault="00000000">
      <w:pPr>
        <w:spacing w:before="240" w:after="240"/>
      </w:pPr>
      <w:r>
        <w:t xml:space="preserve">Distingue-se pela sua vasta coleção cultural </w:t>
      </w:r>
      <w:r w:rsidR="00815ED2">
        <w:t>e</w:t>
      </w:r>
      <w:r>
        <w:t xml:space="preserve"> o seu ambiente natural e social</w:t>
      </w:r>
      <w:r w:rsidR="00815ED2">
        <w:t>, a</w:t>
      </w:r>
      <w:r>
        <w:t xml:space="preserve"> coleção é descrita como atrativa e variada, e o jardim que envolve o museu um extra positivo.</w:t>
      </w:r>
      <w:r w:rsidR="00815ED2">
        <w:t xml:space="preserve"> </w:t>
      </w:r>
    </w:p>
    <w:p w14:paraId="4A85EBE5" w14:textId="6D82C85C" w:rsidR="00B20321" w:rsidRDefault="00000000">
      <w:pPr>
        <w:spacing w:before="240" w:after="240"/>
      </w:pPr>
      <w:r>
        <w:t xml:space="preserve">Também </w:t>
      </w:r>
      <w:r w:rsidR="00815ED2">
        <w:t>é possível consultar vários materiais disponibilizados pela</w:t>
      </w:r>
      <w:r>
        <w:t xml:space="preserve"> Fundação</w:t>
      </w:r>
      <w:r w:rsidR="00815ED2">
        <w:t xml:space="preserve"> online:</w:t>
      </w:r>
    </w:p>
    <w:p w14:paraId="0EB79233" w14:textId="5FE8C459" w:rsidR="00B20321" w:rsidRDefault="00000000" w:rsidP="00271607">
      <w:pPr>
        <w:spacing w:before="240" w:after="240"/>
        <w:ind w:left="360"/>
      </w:pPr>
      <w:r>
        <w:t>·        Catálogo Digital de Exposições da Fundação Calouste Gulbenkian</w:t>
      </w:r>
    </w:p>
    <w:p w14:paraId="3370787C" w14:textId="77777777" w:rsidR="00B20321" w:rsidRDefault="00000000">
      <w:pPr>
        <w:spacing w:before="240" w:after="240"/>
        <w:ind w:left="360"/>
      </w:pPr>
      <w:r>
        <w:t>·        Artigos sobre as peças da coleção, artistas, tempos históricos e costumes</w:t>
      </w:r>
    </w:p>
    <w:p w14:paraId="7CCAEB3C" w14:textId="55DB85AA" w:rsidR="00B20321" w:rsidRDefault="00000000">
      <w:pPr>
        <w:spacing w:before="240" w:after="240"/>
        <w:ind w:left="360"/>
      </w:pPr>
      <w:r>
        <w:t>·        Podcast Only the best</w:t>
      </w:r>
    </w:p>
    <w:p w14:paraId="0FAF53DC" w14:textId="77777777" w:rsidR="00B20321" w:rsidRDefault="00000000">
      <w:pPr>
        <w:spacing w:before="240" w:after="240"/>
        <w:ind w:left="360"/>
      </w:pPr>
      <w:r>
        <w:t>·        Forte presença nas diferentes redes sociais (Instagram, Youtube, X, Facebook, LinkedIn), cerca de 1 milhão de interações</w:t>
      </w:r>
    </w:p>
    <w:p w14:paraId="1C9B5120" w14:textId="61A3B89A" w:rsidR="00815ED2" w:rsidRDefault="00815ED2" w:rsidP="00815ED2">
      <w:pPr>
        <w:spacing w:before="240" w:after="240"/>
      </w:pPr>
      <w:r>
        <w:t>Recentemente, o museu tomou medidas para promover a sustentabilidade como aumentar o número de lugares de estacionamento para bicicletas e carros elétricos e 30% dos materiais usados são reciclados.</w:t>
      </w:r>
    </w:p>
    <w:p w14:paraId="4F87DE21" w14:textId="758377FF" w:rsidR="00815ED2" w:rsidRDefault="00000000" w:rsidP="00AD2F0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Pontos Fracos</w:t>
      </w:r>
    </w:p>
    <w:p w14:paraId="11EB0CBF" w14:textId="785A00F2" w:rsidR="00815ED2" w:rsidRPr="00815ED2" w:rsidRDefault="00815ED2" w:rsidP="00815ED2">
      <w:pPr>
        <w:spacing w:before="240" w:after="240"/>
      </w:pPr>
      <w:r>
        <w:t>O museu, embora tenha várias iniciativas com foco em vários Objetivos de Desenvolvimento Sustentáveis, ainda usa maioritariamente fontes de energia não renováve</w:t>
      </w:r>
      <w:r w:rsidR="00AD2F0B">
        <w:t>is</w:t>
      </w:r>
      <w:r>
        <w:t xml:space="preserve">. De acordo com o Relatório de Contas mais recente (2022), cerca de 72% do consumo de energia provém de Eletricidade, 27% de Gás Natural e apenas 1% de Energia Solar. </w:t>
      </w:r>
    </w:p>
    <w:p w14:paraId="73A1FB15" w14:textId="77777777" w:rsidR="00B20321" w:rsidRDefault="00000000">
      <w:pPr>
        <w:spacing w:before="240" w:after="240"/>
      </w:pPr>
      <w:r>
        <w:t>O financiamento do museu depende bastante do desempenho da carteira de ativos financeiros detidos para negociação, uma fonte que pode ser arriscada e imprevisível. Para contrastar com a imprevisibilidade desta fonte de financiamento, alguns custos do museu são relativamente regulares e expectáveis, como os 26.2 milhões de euros relacionados com as obras de arte.</w:t>
      </w:r>
    </w:p>
    <w:p w14:paraId="66E8E2A8" w14:textId="77777777" w:rsidR="00B20321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Oportunidades</w:t>
      </w:r>
    </w:p>
    <w:p w14:paraId="0F4C375A" w14:textId="77777777" w:rsidR="00B20321" w:rsidRDefault="00000000">
      <w:pPr>
        <w:spacing w:before="240" w:after="240"/>
      </w:pPr>
      <w:r>
        <w:t>Colaborações Estratégicas: O Museu Calouste Gulbenkian pode considerar estabelecer parcerias estratégicas com outros museus ou organizações culturais a nível nacional e internacional.</w:t>
      </w:r>
    </w:p>
    <w:p w14:paraId="79F435E2" w14:textId="77777777" w:rsidR="00B20321" w:rsidRDefault="00000000">
      <w:pPr>
        <w:spacing w:before="240" w:after="240"/>
      </w:pPr>
      <w:r>
        <w:t>Eventos Temáticos e Incorporação de Tecnologia de Ponta: Por exemplo, visitas noturnas temáticas, exposições interativas ou eventos culinários em parceria com chefs locais podem aumentar o apelo do museu ; Investir em tecnologias de ponta como realidade virtual (VR) ou aumentada (AR) pode mudar a maneira como os visitantes interagem com as exposições. Além de atrair um público mais jovem, isso posiciona o museu como inovador e líder no setor.</w:t>
      </w:r>
    </w:p>
    <w:p w14:paraId="28C4162A" w14:textId="36225DC6" w:rsidR="00B20321" w:rsidRDefault="00000000">
      <w:pPr>
        <w:spacing w:before="240" w:after="240"/>
      </w:pPr>
      <w:r>
        <w:lastRenderedPageBreak/>
        <w:t xml:space="preserve">Programas de Membros </w:t>
      </w:r>
      <w:r w:rsidR="002E3AF6">
        <w:t xml:space="preserve">com </w:t>
      </w:r>
      <w:r>
        <w:t>vantagens exclusivas: Ao oferecer benefícios exclusivos aos membros, como acesso antecipado a exposições, eventos exclusivos ou descontos em produtos relacionados, pode atrair os visitantes e construir uma relação sólida com os mesmos.</w:t>
      </w:r>
    </w:p>
    <w:p w14:paraId="059314DD" w14:textId="77777777" w:rsidR="00B20321" w:rsidRDefault="00000000">
      <w:pPr>
        <w:spacing w:before="240" w:after="240"/>
      </w:pPr>
      <w:r>
        <w:t>Marketing Digital e Presença Online: Desenvolvimento de um site atraente e uma estratégia de mídia social bem-sucedida. Observar as estratégias de marketing digital dos concorrentes para obter informações úteis sobre como otimizar a visibilidade online.</w:t>
      </w:r>
    </w:p>
    <w:p w14:paraId="44D0A105" w14:textId="29033016" w:rsidR="002E3AF6" w:rsidRDefault="00000000">
      <w:pPr>
        <w:spacing w:before="240" w:after="240"/>
      </w:pPr>
      <w:r>
        <w:rPr>
          <w:b/>
          <w:sz w:val="24"/>
          <w:szCs w:val="24"/>
        </w:rPr>
        <w:t>Ameaças</w:t>
      </w:r>
      <w:r>
        <w:br/>
      </w:r>
      <w:r>
        <w:br/>
      </w:r>
      <w:r>
        <w:tab/>
        <w:t>A concorrência com outras instituições culturais é uma ameaça para a Gulbenkian uma vez que, pode resultar na disputa por recursos financeiros limitados e na diminuição de visitantes aos seus eventos e exposições devido a outras opções mais atrativas, sendo necessário manter a relevância e inovar para competir pela atenção do público.</w:t>
      </w:r>
      <w:r w:rsidR="002E3AF6">
        <w:t xml:space="preserve"> Alguns concorrentes do museu incluem o MAAT e o Museu Nacional de Arte Antiga.</w:t>
      </w:r>
    </w:p>
    <w:p w14:paraId="3CD60CDF" w14:textId="77777777" w:rsidR="00B20321" w:rsidRDefault="00000000">
      <w:pPr>
        <w:spacing w:before="240" w:after="240"/>
      </w:pPr>
      <w:r>
        <w:tab/>
        <w:t xml:space="preserve">Nos dias de hoje, é fundamental acompanhar os avanços tecnológicos de forma a manter a relevância. Assim, a falta de adaptação a avanços tecnológicos pode ter consequências como, menor alcance de público e consequentemente, menos visitantes, perda de eficiência operacional e competição com instituições mais inovadores. </w:t>
      </w:r>
    </w:p>
    <w:p w14:paraId="07934DB7" w14:textId="1EDE8F23" w:rsidR="00B20321" w:rsidRDefault="00000000">
      <w:pPr>
        <w:spacing w:before="240" w:after="240"/>
        <w:rPr>
          <w:color w:val="76A5AF"/>
          <w:sz w:val="28"/>
          <w:szCs w:val="28"/>
        </w:rPr>
      </w:pPr>
      <w:r>
        <w:rPr>
          <w:color w:val="76A5AF"/>
          <w:sz w:val="28"/>
          <w:szCs w:val="28"/>
        </w:rPr>
        <w:t>6. Evento/iniciativa proposta</w:t>
      </w:r>
    </w:p>
    <w:p w14:paraId="391908D9" w14:textId="77777777" w:rsidR="00B20321" w:rsidRDefault="00000000">
      <w:pPr>
        <w:spacing w:before="300"/>
      </w:pPr>
      <w:r>
        <w:t>A ideia proposta chama-se  "Gulbenkian à noite”. Consiste num evento noturno, no qual o museu se torna um espetáculo de arte ao vivo. Este objetivo seria atingido através de estímulos aos elementos sensoriais usando música, projeções relacionadas às obras de arte e aromas. O conceito central da iniciativa é enriquecer a interação entre o público e as obras de arte através da exploração dos sentidos. Através do uso estratégico de elementos sensoriais, ambicionamos criar um ambiente imersivo que convide os participantes a uma jornada sensorial.</w:t>
      </w:r>
    </w:p>
    <w:p w14:paraId="1E0EF61B" w14:textId="77777777" w:rsidR="00B20321" w:rsidRDefault="00B20321">
      <w:pPr>
        <w:spacing w:before="240"/>
        <w:rPr>
          <w:b/>
          <w:sz w:val="24"/>
          <w:szCs w:val="24"/>
        </w:rPr>
      </w:pPr>
    </w:p>
    <w:p w14:paraId="3F04394F" w14:textId="77777777" w:rsidR="00B20321" w:rsidRDefault="00B20321">
      <w:pPr>
        <w:spacing w:before="240"/>
        <w:rPr>
          <w:b/>
          <w:sz w:val="24"/>
          <w:szCs w:val="24"/>
        </w:rPr>
      </w:pPr>
    </w:p>
    <w:p w14:paraId="6FB06C98" w14:textId="77777777" w:rsidR="00B20321" w:rsidRDefault="00B20321">
      <w:pPr>
        <w:spacing w:before="240"/>
        <w:rPr>
          <w:b/>
          <w:sz w:val="24"/>
          <w:szCs w:val="24"/>
        </w:rPr>
      </w:pPr>
    </w:p>
    <w:p w14:paraId="476C69E3" w14:textId="77777777" w:rsidR="00B20321" w:rsidRDefault="00B20321">
      <w:p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  <w:u w:val="single"/>
        </w:rPr>
      </w:pPr>
    </w:p>
    <w:sectPr w:rsidR="00B20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69A"/>
    <w:multiLevelType w:val="multilevel"/>
    <w:tmpl w:val="C8C6C6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500AC"/>
    <w:multiLevelType w:val="multilevel"/>
    <w:tmpl w:val="00900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36BB7"/>
    <w:multiLevelType w:val="multilevel"/>
    <w:tmpl w:val="30A0C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0836876">
    <w:abstractNumId w:val="0"/>
  </w:num>
  <w:num w:numId="2" w16cid:durableId="279145130">
    <w:abstractNumId w:val="2"/>
  </w:num>
  <w:num w:numId="3" w16cid:durableId="167977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321"/>
    <w:rsid w:val="00123DE4"/>
    <w:rsid w:val="0016422A"/>
    <w:rsid w:val="002012F5"/>
    <w:rsid w:val="00271607"/>
    <w:rsid w:val="002E3AF6"/>
    <w:rsid w:val="005B6176"/>
    <w:rsid w:val="006472A8"/>
    <w:rsid w:val="006A5E78"/>
    <w:rsid w:val="007C1FF2"/>
    <w:rsid w:val="00815ED2"/>
    <w:rsid w:val="009108B7"/>
    <w:rsid w:val="00AD2F0B"/>
    <w:rsid w:val="00B20321"/>
    <w:rsid w:val="00C84F0E"/>
    <w:rsid w:val="00CF26D7"/>
    <w:rsid w:val="00E86E7E"/>
    <w:rsid w:val="00E915F6"/>
    <w:rsid w:val="00E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AE19"/>
  <w15:docId w15:val="{91811D68-6AE0-4DE8-A380-8B127A00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1265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Ventura</cp:lastModifiedBy>
  <cp:revision>5</cp:revision>
  <dcterms:created xsi:type="dcterms:W3CDTF">2023-12-11T15:19:00Z</dcterms:created>
  <dcterms:modified xsi:type="dcterms:W3CDTF">2023-12-13T06:17:00Z</dcterms:modified>
</cp:coreProperties>
</file>