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Aptos Display" w:hAnsi="Aptos Display"/>
          <w:b/>
          <w:color w:val="0EA5E9"/>
          <w:sz w:val="76"/>
        </w:rPr>
        <w:t>ATS-UCE</w:t>
      </w:r>
    </w:p>
    <w:p>
      <w:pPr>
        <w:jc w:val="center"/>
      </w:pPr>
      <w:r>
        <w:rPr>
          <w:b/>
          <w:color w:val="071429"/>
          <w:sz w:val="44"/>
        </w:rPr>
        <w:t>INFORME DE PRUEBAS FUNCIONALES E2E</w:t>
      </w:r>
    </w:p>
    <w:p>
      <w:pPr>
        <w:jc w:val="center"/>
      </w:pPr>
      <w:r>
        <w:rPr>
          <w:color w:val="475569"/>
          <w:sz w:val="30"/>
        </w:rPr>
        <w:t>Automatización con Selenium WebDriver y Cucumber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UCE TalentPath — ATS-UCE</w:t>
            </w:r>
          </w:p>
        </w:tc>
      </w:tr>
      <w:tr>
        <w:tc>
          <w:tcPr>
            <w:tcW w:type="dxa" w:w="504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Tipo de prueba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Funcional, interfaz y navegación de extremo a extremo</w:t>
            </w:r>
          </w:p>
        </w:tc>
      </w:tr>
      <w:tr>
        <w:tc>
          <w:tcPr>
            <w:tcW w:type="dxa" w:w="504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Fecha de ejecución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25/07/2026</w:t>
            </w:r>
          </w:p>
        </w:tc>
      </w:tr>
      <w:tr>
        <w:tc>
          <w:tcPr>
            <w:tcW w:type="dxa" w:w="504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Resultado general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APROBADO — 2/2 escenarios</w:t>
            </w:r>
          </w:p>
        </w:tc>
      </w:tr>
    </w:tbl>
    <w:p/>
    <w:p>
      <w:pPr>
        <w:jc w:val="center"/>
      </w:pPr>
      <w:r>
        <w:rPr>
          <w:i/>
          <w:color w:val="475569"/>
        </w:rPr>
        <w:t>Universidad Central del Ecuador · Sistema de gestión de reclutamiento docente</w:t>
      </w:r>
    </w:p>
    <w:p>
      <w:r>
        <w:br w:type="page"/>
      </w:r>
    </w:p>
    <w:p>
      <w:pPr>
        <w:pStyle w:val="Heading1"/>
      </w:pPr>
      <w:r>
        <w:rPr>
          <w:color w:val="071429"/>
        </w:rPr>
        <w:t>1. Resumen ejecutivo</w:t>
      </w:r>
    </w:p>
    <w:p>
      <w:r>
        <w:t>Se automatizaron y ejecutaron pruebas funcionales de extremo a extremo sobre la interfaz pública de ATS-UCE. La validación comprobó la carga de la portada, la presencia del contenido principal y la navegación desde la página inicial hacia el formulario de creación de cuenta.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Escenarios</w:t>
            </w:r>
          </w:p>
        </w:tc>
        <w:tc>
          <w:tcPr>
            <w:tcW w:type="dxa" w:w="252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Pasos</w:t>
            </w:r>
          </w:p>
        </w:tc>
        <w:tc>
          <w:tcPr>
            <w:tcW w:type="dxa" w:w="252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Aprobados</w:t>
            </w:r>
          </w:p>
        </w:tc>
        <w:tc>
          <w:tcPr>
            <w:tcW w:type="dxa" w:w="252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Fallidos</w:t>
            </w:r>
          </w:p>
        </w:tc>
      </w:tr>
      <w:tr>
        <w:tc>
          <w:tcPr>
            <w:tcW w:type="dxa" w:w="2520"/>
            <w:shd w:fill="DCFCE7"/>
            <w:vAlign w:val="center"/>
          </w:tcPr>
          <w:p>
            <w:r/>
            <w:r>
              <w:rPr>
                <w:rFonts w:ascii="Aptos" w:hAnsi="Aptos"/>
                <w:b/>
                <w:color w:val="071429"/>
                <w:sz w:val="22"/>
              </w:rPr>
              <w:t>2</w:t>
            </w:r>
          </w:p>
        </w:tc>
        <w:tc>
          <w:tcPr>
            <w:tcW w:type="dxa" w:w="2520"/>
            <w:shd w:fill="DCFCE7"/>
            <w:vAlign w:val="center"/>
          </w:tcPr>
          <w:p>
            <w:r/>
            <w:r>
              <w:rPr>
                <w:rFonts w:ascii="Aptos" w:hAnsi="Aptos"/>
                <w:b/>
                <w:color w:val="071429"/>
                <w:sz w:val="22"/>
              </w:rPr>
              <w:t>10</w:t>
            </w:r>
          </w:p>
        </w:tc>
        <w:tc>
          <w:tcPr>
            <w:tcW w:type="dxa" w:w="2520"/>
            <w:shd w:fill="DCFCE7"/>
            <w:vAlign w:val="center"/>
          </w:tcPr>
          <w:p>
            <w:r/>
            <w:r>
              <w:rPr>
                <w:rFonts w:ascii="Aptos" w:hAnsi="Aptos"/>
                <w:b/>
                <w:color w:val="071429"/>
                <w:sz w:val="22"/>
              </w:rPr>
              <w:t>2 (100 %)</w:t>
            </w:r>
          </w:p>
        </w:tc>
        <w:tc>
          <w:tcPr>
            <w:tcW w:type="dxa" w:w="2520"/>
            <w:shd w:fill="DCFCE7"/>
            <w:vAlign w:val="center"/>
          </w:tcPr>
          <w:p>
            <w:r/>
            <w:r>
              <w:rPr>
                <w:rFonts w:ascii="Aptos" w:hAnsi="Aptos"/>
                <w:b/>
                <w:color w:val="071429"/>
                <w:sz w:val="22"/>
              </w:rPr>
              <w:t>0</w:t>
            </w:r>
          </w:p>
        </w:tc>
      </w:tr>
    </w:tbl>
    <w:p>
      <w:pPr>
        <w:pStyle w:val="Heading1"/>
      </w:pPr>
      <w:r>
        <w:rPr>
          <w:color w:val="071429"/>
        </w:rPr>
        <w:t>2. Objetivo y alcance</w:t>
      </w:r>
    </w:p>
    <w:p>
      <w:r>
        <w:t>Objetivo: verificar automáticamente que un visitante pueda acceder a la interfaz pública, identificar la plataforma ATS-UCE y llegar al proceso de registro mediante la acción principal.</w:t>
      </w:r>
    </w:p>
    <w:p>
      <w:r>
        <w:t>Alcance: página principal y ruta pública /sign-up. Esta ejecución no incluye autenticación con cuentas reales, persistencia en base de datos, carga de hojas de vida ni flujos internos por rol.</w:t>
      </w:r>
    </w:p>
    <w:p>
      <w:pPr>
        <w:pStyle w:val="Heading1"/>
      </w:pPr>
      <w:r>
        <w:rPr>
          <w:color w:val="071429"/>
        </w:rPr>
        <w:t>3. Entorno y herramientas</w:t>
      </w:r>
    </w:p>
    <w:p>
      <w:pPr>
        <w:pStyle w:val="ListBullet"/>
      </w:pPr>
      <w:r>
        <w:t>Aplicación: frontend React + Vite de ATS-UCE.</w:t>
      </w:r>
    </w:p>
    <w:p>
      <w:pPr>
        <w:pStyle w:val="ListBullet"/>
      </w:pPr>
      <w:r>
        <w:t>Automatización BDD: Cucumber 13.2.0.</w:t>
      </w:r>
    </w:p>
    <w:p>
      <w:pPr>
        <w:pStyle w:val="ListBullet"/>
      </w:pPr>
      <w:r>
        <w:t>Navegador: Google Chrome 150.</w:t>
      </w:r>
    </w:p>
    <w:p>
      <w:pPr>
        <w:pStyle w:val="ListBullet"/>
      </w:pPr>
      <w:r>
        <w:t>Controlador: ChromeDriver 150.0.4.</w:t>
      </w:r>
    </w:p>
    <w:p>
      <w:pPr>
        <w:pStyle w:val="ListBullet"/>
      </w:pPr>
      <w:r>
        <w:t>Motor: Selenium WebDriver 4.46.0.</w:t>
      </w:r>
    </w:p>
    <w:p>
      <w:pPr>
        <w:pStyle w:val="ListBullet"/>
      </w:pPr>
      <w:r>
        <w:t>Modo de ejecución: Chrome headless, ventana de 1440 × 1000 px.</w:t>
      </w:r>
    </w:p>
    <w:p>
      <w:pPr>
        <w:pStyle w:val="ListBullet"/>
      </w:pPr>
      <w:r>
        <w:t>URL evaluada: http://localhost:5173.</w:t>
      </w:r>
    </w:p>
    <w:p>
      <w:pPr>
        <w:pStyle w:val="Heading1"/>
      </w:pPr>
      <w:r>
        <w:rPr>
          <w:color w:val="071429"/>
        </w:rPr>
        <w:t>4. Matriz de casos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648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1800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Caso</w:t>
            </w:r>
          </w:p>
        </w:tc>
        <w:tc>
          <w:tcPr>
            <w:tcW w:type="dxa" w:w="1512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Precondición</w:t>
            </w:r>
          </w:p>
        </w:tc>
        <w:tc>
          <w:tcPr>
            <w:tcW w:type="dxa" w:w="2448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Acciones</w:t>
            </w:r>
          </w:p>
        </w:tc>
        <w:tc>
          <w:tcPr>
            <w:tcW w:type="dxa" w:w="2448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Resultado esperado</w:t>
            </w:r>
          </w:p>
        </w:tc>
        <w:tc>
          <w:tcPr>
            <w:tcW w:type="dxa" w:w="936"/>
            <w:shd w:fill="071429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/>
                <w:sz w:val="16"/>
              </w:rPr>
              <w:t>CP-01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Visualización de portada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Frontend disponible.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1. Abrir la URL base.</w:t>
              <w:br/>
              <w:t>2. Localizar el título.</w:t>
              <w:br/>
              <w:t>3. Verificar el mensaje principal.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Se muestra "ATS-UCE" y el texto principal de talento académico.</w:t>
            </w:r>
          </w:p>
        </w:tc>
        <w:tc>
          <w:tcPr>
            <w:tcW w:type="dxa" w:w="1680"/>
            <w:vAlign w:val="center"/>
            <w:shd w:fill="DCFCE7"/>
          </w:tcPr>
          <w:p>
            <w:r/>
            <w:r>
              <w:rPr>
                <w:rFonts w:ascii="Aptos" w:hAnsi="Aptos"/>
                <w:b/>
                <w:sz w:val="16"/>
              </w:rPr>
              <w:t>APROBADO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/>
                <w:sz w:val="16"/>
              </w:rPr>
              <w:t>CP-02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Navegación al registro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Visitante ubicado en la portada.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1. Abrir la URL base.</w:t>
              <w:br/>
              <w:t>2. Pulsar "Explore Platform".</w:t>
              <w:br/>
              <w:t>3. Validar la ruta.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rFonts w:ascii="Aptos" w:hAnsi="Aptos"/>
                <w:b w:val="0"/>
                <w:sz w:val="16"/>
              </w:rPr>
              <w:t>La aplicación navega correctamente a /sign-up.</w:t>
            </w:r>
          </w:p>
        </w:tc>
        <w:tc>
          <w:tcPr>
            <w:tcW w:type="dxa" w:w="1680"/>
            <w:vAlign w:val="center"/>
            <w:shd w:fill="DCFCE7"/>
          </w:tcPr>
          <w:p>
            <w:r/>
            <w:r>
              <w:rPr>
                <w:rFonts w:ascii="Aptos" w:hAnsi="Aptos"/>
                <w:b/>
                <w:sz w:val="16"/>
              </w:rPr>
              <w:t>APROBADO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71429"/>
        </w:rPr>
        <w:t>5. Evidencias de ejecución</w:t>
      </w:r>
    </w:p>
    <w:p>
      <w:pPr>
        <w:pStyle w:val="Heading2"/>
      </w:pPr>
      <w:r>
        <w:rPr>
          <w:color w:val="0EA5E9"/>
        </w:rPr>
        <w:t>CP-01 — La portada muestra la información principal</w:t>
      </w:r>
    </w:p>
    <w:p>
      <w:r>
        <w:t>Resultado observado: el encabezado ATS-UCE, el mensaje principal, los botones de acción y el formulario de acceso del postulante se mostraron correctamente. Las aserciones de contenido fueron satisfactorias.</w:t>
      </w:r>
    </w:p>
    <w:p>
      <w:r>
        <w:drawing>
          <wp:inline xmlns:a="http://schemas.openxmlformats.org/drawingml/2006/main" xmlns:pic="http://schemas.openxmlformats.org/drawingml/2006/picture">
            <wp:extent cx="6400800" cy="3817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-portada-muestra-la-informacion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17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Figura 1. Portada pública de ATS-UCE validada por Selenium.</w:t>
      </w:r>
    </w:p>
    <w:p>
      <w:pPr>
        <w:pStyle w:val="Heading2"/>
      </w:pPr>
      <w:r>
        <w:rPr>
          <w:color w:val="0EA5E9"/>
        </w:rPr>
        <w:t>CP-02 — El visitante puede ir al registro</w:t>
      </w:r>
    </w:p>
    <w:p>
      <w:r>
        <w:t>Resultado observado: después de pulsar "Explore Platform", el navegador llegó a la ruta /sign-up y mostró el formulario de creación de cuenta.</w:t>
      </w:r>
    </w:p>
    <w:p>
      <w:r>
        <w:drawing>
          <wp:inline xmlns:a="http://schemas.openxmlformats.org/drawingml/2006/main" xmlns:pic="http://schemas.openxmlformats.org/drawingml/2006/picture">
            <wp:extent cx="6400800" cy="38170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-visitante-puede-ir-al-regist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17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Figura 2. Pantalla de registro alcanzada desde la portada.</w:t>
      </w:r>
    </w:p>
    <w:p>
      <w:pPr>
        <w:pStyle w:val="Heading1"/>
      </w:pPr>
      <w:r>
        <w:rPr>
          <w:color w:val="071429"/>
        </w:rPr>
        <w:t>6. Resultado de la ejecución</w:t>
      </w:r>
    </w:p>
    <w:p>
      <w:r>
        <w:rPr>
          <w:b/>
          <w:color w:val="15803D"/>
          <w:sz w:val="26"/>
        </w:rPr>
        <w:t>2 escenarios aprobados · 10 pasos aprobados · 0 fallos</w:t>
      </w:r>
    </w:p>
    <w:p>
      <w:r>
        <w:t>Tiempo registrado por Cucumber: 2.825 segundos. El resultado general se considera APROBADO para el alcance definido.</w:t>
      </w:r>
    </w:p>
    <w:p>
      <w:pPr>
        <w:pStyle w:val="Heading1"/>
      </w:pPr>
      <w:r>
        <w:rPr>
          <w:color w:val="071429"/>
        </w:rPr>
        <w:t>7. Conclusiones y recomendaciones</w:t>
      </w:r>
    </w:p>
    <w:p>
      <w:pPr>
        <w:pStyle w:val="ListBullet"/>
      </w:pPr>
      <w:r>
        <w:t>La interfaz pública carga y presenta los elementos críticos esperados.</w:t>
      </w:r>
    </w:p>
    <w:p>
      <w:pPr>
        <w:pStyle w:val="ListBullet"/>
      </w:pPr>
      <w:r>
        <w:t>La navegación principal hacia el registro funciona correctamente.</w:t>
      </w:r>
    </w:p>
    <w:p>
      <w:pPr>
        <w:pStyle w:val="ListBullet"/>
      </w:pPr>
      <w:r>
        <w:t>Las evidencias quedan guardadas automáticamente para ejecuciones futuras.</w:t>
      </w:r>
    </w:p>
    <w:p>
      <w:pPr>
        <w:pStyle w:val="ListBullet"/>
      </w:pPr>
      <w:r>
        <w:t>Como siguiente incremento, conviene automatizar registro, inicio de sesión y flujos por rol usando usuarios exclusivos del ambiente de pruebas.</w:t>
      </w:r>
    </w:p>
    <w:p>
      <w:pPr>
        <w:pStyle w:val="ListBullet"/>
      </w:pPr>
      <w:r>
        <w:t>En integración continua se recomienda ejecutar la suite contra un entorno QA aislado y conservar el reporte HTML y las capturas como artefactos.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ATS-UCE · Informe de pruebas E2E · Selenium + Cucumber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