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7365D"/>
          <w:sz w:val="36"/>
        </w:rPr>
        <w:t>UNIVERSIDAD CENTRAL DEL ECUADOR</w:t>
      </w:r>
    </w:p>
    <w:p>
      <w:pPr>
        <w:spacing w:before="1100"/>
        <w:jc w:val="center"/>
      </w:pPr>
      <w:r>
        <w:rPr>
          <w:b/>
          <w:color w:val="17365D"/>
          <w:sz w:val="48"/>
        </w:rPr>
        <w:t>INFORME DE PRUEBAS DE INTEGRACIÓN</w:t>
      </w:r>
    </w:p>
    <w:p>
      <w:pPr>
        <w:jc w:val="center"/>
      </w:pPr>
      <w:r>
        <w:rPr>
          <w:color w:val="666666"/>
          <w:sz w:val="34"/>
        </w:rPr>
        <w:t>Sistema ATS-UCE</w:t>
        <w:br/>
        <w:t>Ejecución automatizada con SoapUI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23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Sistema evaluado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ATS-UCE — Sistema de gestión de reclutamiento docente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Tipo de prueba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Pruebas de integración de API REST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Herramienta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SoapUI Open Source 5.10.0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Ambiente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Desarrollo local — http://localhost:8000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Fecha de ejecución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25 de julio de 2026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Resultado general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</w:tbl>
    <w:p/>
    <w:p/>
    <w:p>
      <w:pPr>
        <w:jc w:val="center"/>
      </w:pPr>
      <w:r>
        <w:rPr>
          <w:b/>
          <w:color w:val="198754"/>
          <w:sz w:val="36"/>
        </w:rPr>
        <w:t>RESULTADO SATISFACTORIO</w:t>
      </w:r>
    </w:p>
    <w:p>
      <w:r>
        <w:br w:type="page"/>
      </w:r>
    </w:p>
    <w:p>
      <w:pPr>
        <w:pStyle w:val="Heading1"/>
        <w:spacing w:before="200" w:after="100"/>
      </w:pPr>
      <w:r>
        <w:t>1. Resumen ejecutivo</w:t>
      </w:r>
    </w:p>
    <w:p>
      <w:pPr>
        <w:spacing w:after="120" w:line="276" w:lineRule="auto"/>
        <w:jc w:val="both"/>
      </w:pPr>
      <w:r>
        <w:t>Se ejecutaron pruebas de integración sobre los principales servicios REST del sistema ATS-UCE. La evaluación cubrió disponibilidad, conexión con base de datos, consulta pública de vacantes, protección de recursos, validación de tokens JWT y autorización según los roles applicant, human_resources y authorities.</w:t>
      </w:r>
    </w:p>
    <w:p>
      <w:pPr>
        <w:spacing w:after="120" w:line="276" w:lineRule="auto"/>
        <w:jc w:val="both"/>
      </w:pPr>
      <w:r>
        <w:t>El resultado consolidado fue satisfactorio. Las dos suites finalizaron sin defectos funcionales atribuibles a la aplicación. Se comprobó que los servicios públicos responden correctamente y que los recursos protegidos aplican las políticas de autenticación y autorización previstas.</w:t>
      </w:r>
    </w:p>
    <w:p>
      <w:r>
        <w:drawing>
          <wp:inline xmlns:a="http://schemas.openxmlformats.org/drawingml/2006/main" xmlns:pic="http://schemas.openxmlformats.org/drawingml/2006/picture">
            <wp:extent cx="6126480" cy="2940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pui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1. Resumen consolidado de la ejecución satisfactoria.</w:t>
      </w:r>
    </w:p>
    <w:p>
      <w:pPr>
        <w:pStyle w:val="Heading1"/>
        <w:spacing w:before="200" w:after="100"/>
      </w:pPr>
      <w:r>
        <w:t>2. Objetivos</w:t>
      </w:r>
    </w:p>
    <w:p>
      <w:pPr>
        <w:pStyle w:val="ListBullet"/>
        <w:spacing w:after="60"/>
      </w:pPr>
      <w:r>
        <w:t>Verificar la disponibilidad de la API y la conexión con PostgreSQL.</w:t>
      </w:r>
    </w:p>
    <w:p>
      <w:pPr>
        <w:pStyle w:val="ListBullet"/>
        <w:spacing w:after="60"/>
      </w:pPr>
      <w:r>
        <w:t>Comprobar el contrato HTTP/JSON de los recursos públicos.</w:t>
      </w:r>
    </w:p>
    <w:p>
      <w:pPr>
        <w:pStyle w:val="ListBullet"/>
        <w:spacing w:after="60"/>
      </w:pPr>
      <w:r>
        <w:t>Validar el rechazo de solicitudes sin autenticación o con tokens inválidos.</w:t>
      </w:r>
    </w:p>
    <w:p>
      <w:pPr>
        <w:pStyle w:val="ListBullet"/>
        <w:spacing w:after="60"/>
      </w:pPr>
      <w:r>
        <w:t>Confirmar el acceso correcto para postulantes, Recursos Humanos y autoridades.</w:t>
      </w:r>
    </w:p>
    <w:p>
      <w:pPr>
        <w:pStyle w:val="ListBullet"/>
        <w:spacing w:after="60"/>
      </w:pPr>
      <w:r>
        <w:t>Comprobar el ranking de aplicaciones y las estadísticas del dashboard.</w:t>
      </w:r>
    </w:p>
    <w:p>
      <w:pPr>
        <w:pStyle w:val="ListBullet"/>
        <w:spacing w:after="60"/>
      </w:pPr>
      <w:r>
        <w:t>Obtener evidencia reproducible mediante SoapUI y reportes JUnit.</w:t>
      </w:r>
    </w:p>
    <w:p>
      <w:pPr>
        <w:pStyle w:val="Heading1"/>
        <w:spacing w:before="200" w:after="100"/>
      </w:pPr>
      <w:r>
        <w:t>3. Alcance</w:t>
      </w:r>
    </w:p>
    <w:p>
      <w:pPr>
        <w:spacing w:after="120" w:line="276" w:lineRule="auto"/>
        <w:jc w:val="both"/>
      </w:pPr>
      <w:r>
        <w:t>El alcance corresponde a pruebas de lectura y seguridad sobre la versión 0.1.0 de la API. Se excluyeron deliberadamente operaciones destructivas o con efectos externos, como eliminación de vacantes, envío real de CV, análisis con IA y emisión de correos.</w:t>
      </w:r>
    </w:p>
    <w:p>
      <w:r>
        <w:br w:type="page"/>
      </w:r>
    </w:p>
    <w:p>
      <w:pPr>
        <w:pStyle w:val="Heading1"/>
        <w:spacing w:before="200" w:after="100"/>
      </w:pPr>
      <w:r>
        <w:t>4. Ambiente y arquitectura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23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Tecnología / configuración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Cliente de pruebas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SoapUI Open Source 5.10.0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FastAPI / Uvicorn — /api/v1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Contrato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OpenAPI 3.1 — /openapi.json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Autenticación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Clerk — JWT Bearer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Persistencia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PostgreSQL 16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Ejecución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Windows PowerShell / testrunner.bat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Proyecto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soapui/ATS-UCE-soapui-project.xml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2450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2. Componentes involucrados en las pruebas de integración.</w:t>
      </w:r>
    </w:p>
    <w:p>
      <w:pPr>
        <w:spacing w:after="120" w:line="276" w:lineRule="auto"/>
        <w:jc w:val="both"/>
      </w:pPr>
      <w:r>
        <w:t>La vista WADL observada en SoapUI corresponde a la representación interna de la interfaz REST importada. Su presencia confirma que los recursos, métodos y rutas fueron reconocidos por la herramienta.</w:t>
      </w:r>
    </w:p>
    <w:p>
      <w:pPr>
        <w:pStyle w:val="Heading1"/>
        <w:spacing w:before="200" w:after="100"/>
      </w:pPr>
      <w:r>
        <w:t>5. Estrategia de pruebas</w:t>
      </w:r>
    </w:p>
    <w:p>
      <w:pPr>
        <w:spacing w:after="120" w:line="276" w:lineRule="auto"/>
        <w:jc w:val="both"/>
      </w:pPr>
      <w:r>
        <w:t>Se aplicó una estrategia secuencial organizada en dos suites. La primera puede ejecutarse sin credenciales y verifica disponibilidad y seguridad básica. La segunda utiliza tokens de sesión de Clerk para comprobar las reglas de acceso por rol. Los JWT se almacenan fuera del control de versiones y nunca se incluyen en el informe.</w:t>
      </w:r>
    </w:p>
    <w:p>
      <w:r>
        <w:br w:type="page"/>
      </w:r>
    </w:p>
    <w:p>
      <w:pPr>
        <w:pStyle w:val="Heading1"/>
        <w:spacing w:before="200" w:after="100"/>
      </w:pPr>
      <w:r>
        <w:t>6. Resultados detallados</w:t>
      </w:r>
    </w:p>
    <w:p>
      <w:pPr>
        <w:pStyle w:val="Heading2"/>
        <w:spacing w:before="200" w:after="100"/>
      </w:pPr>
      <w:r>
        <w:t>6.1 Suite 01 — Public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23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Caso de prueba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PUB-01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Health retorna estado ok y base de datos conectada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PUB-02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Vacantes públicas retornan un arreglo JSON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SEC-01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Aplicaciones rechaza solicitud sin token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SEC-02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Usuario actual rechaza token inválido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VAL-01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 validan parámetros de paginación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</w:tbl>
    <w:p/>
    <w:p>
      <w:pPr>
        <w:spacing w:after="120" w:line="276" w:lineRule="auto"/>
        <w:jc w:val="both"/>
      </w:pPr>
      <w:r>
        <w:t>La captura de ejecución muestra la barra FINISHED en color verde y los cinco casos completados. El resumen de línea de comandos registró 5 casos, 6 pasos, 7 aserciones y 0 fallos en 775 ms.</w:t>
      </w:r>
    </w:p>
    <w:p>
      <w:pPr>
        <w:pStyle w:val="Heading2"/>
        <w:spacing w:before="200" w:after="100"/>
      </w:pPr>
      <w:r>
        <w:t>6.2 Suite 02 — Authenticated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23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Caso de prueba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AUT-01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Postulante consulta su propio perfil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AUT-02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Postulante consulta sus aplicaciones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ROL-01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Postulante no puede consultar el ranking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ROL-02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Recursos Humanos consulta el ranking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ROL-03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Recursos Humanos consulta estadísticas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47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ROL-04</w:t>
            </w:r>
          </w:p>
        </w:tc>
        <w:tc>
          <w:tcPr>
            <w:tcW w:type="dxa" w:w="623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Autoridad consulta su propio perfil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198754"/>
                <w:sz w:val="18"/>
              </w:rPr>
              <w:t>APROBADO</w:t>
            </w:r>
          </w:p>
        </w:tc>
      </w:tr>
    </w:tbl>
    <w:p/>
    <w:p>
      <w:pPr>
        <w:spacing w:after="120" w:line="276" w:lineRule="auto"/>
        <w:jc w:val="both"/>
      </w:pPr>
      <w:r>
        <w:t>Durante la preparación se observaron respuestas 401 porque SoapUI no carga automáticamente el archivo externo de propiedades al ejecutar desde la interfaz gráfica. La incidencia se resolvió configurando baseUrl y los JWT en las Custom Properties del proyecto. Tras la corrección, las solicitudes autenticadas fueron evaluadas conforme al rol esperado.</w:t>
      </w:r>
    </w:p>
    <w:p>
      <w:r>
        <w:br w:type="page"/>
      </w:r>
    </w:p>
    <w:p>
      <w:pPr>
        <w:pStyle w:val="Heading1"/>
        <w:spacing w:before="200" w:after="100"/>
      </w:pPr>
      <w:r>
        <w:t>7. Evidencias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5102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Suite pública con barra verde FINISHED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Ejecución terminada sin casos fallidos.</w:t>
            </w:r>
          </w:p>
        </w:tc>
      </w:tr>
      <w:tr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Árbol de recursos ATS-UCE REST API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API importada y organizada por recursos REST.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Vista WADL Content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Descripción técnica generada por SoapUI; no representa un error.</w:t>
            </w:r>
          </w:p>
        </w:tc>
      </w:tr>
      <w:tr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Respuestas HTTP 200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Servicios disponibles y consultas autorizadas correctas.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Respuestas HTTP 401/403 esperadas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Controles de autenticación y roles operativos.</w:t>
            </w:r>
          </w:p>
        </w:tc>
      </w:tr>
      <w:tr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Reportes JUnit XML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Resultados disponibles para trazabilidad y automatización.</w:t>
            </w:r>
          </w:p>
        </w:tc>
      </w:tr>
    </w:tbl>
    <w:p/>
    <w:p>
      <w:pPr>
        <w:spacing w:after="120" w:line="276" w:lineRule="auto"/>
        <w:jc w:val="both"/>
      </w:pPr>
      <w:r>
        <w:t>Los criterios de aceptación se consideraron cumplidos cuando el código HTTP coincidió con el escenario, las expresiones JSONPath encontraron los valores esperados y no se registraron aserciones fallidas. Los códigos 401 y 403 son resultados aprobatorios únicamente en los casos negativos diseñados para comprobar seguridad.</w:t>
      </w:r>
    </w:p>
    <w:p>
      <w:pPr>
        <w:pStyle w:val="Heading1"/>
        <w:spacing w:before="200" w:after="100"/>
      </w:pPr>
      <w:r>
        <w:t>8. Incidencias resueltas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551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Incidencia</w:t>
            </w:r>
          </w:p>
        </w:tc>
        <w:tc>
          <w:tcPr>
            <w:tcW w:type="dxa" w:w="3402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Causa</w:t>
            </w:r>
          </w:p>
        </w:tc>
        <w:tc>
          <w:tcPr>
            <w:tcW w:type="dxa" w:w="3402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Resolución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SoapUI no encontrado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La herramienta no estaba instalada o detectada.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Instalación de SoapUI 5.10.0 y detección automática.</w:t>
            </w:r>
          </w:p>
        </w:tc>
      </w:tr>
      <w:tr>
        <w:tc>
          <w:tcPr>
            <w:tcW w:type="dxa" w:w="255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401 en suite autenticada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JWT ausentes, de ejemplo o no cargados en GUI.</w:t>
            </w:r>
          </w:p>
        </w:tc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Carga de tokens de sesión válidos en propiedades del proyecto.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Advertencia de directorio temporal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Archivo temporal retenido por Java/Windows.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Sin impacto funcional; ejecución final válida.</w:t>
            </w:r>
          </w:p>
        </w:tc>
      </w:tr>
    </w:tbl>
    <w:p/>
    <w:p>
      <w:r>
        <w:br w:type="page"/>
      </w:r>
    </w:p>
    <w:p>
      <w:pPr>
        <w:pStyle w:val="Heading1"/>
        <w:spacing w:before="200" w:after="100"/>
      </w:pPr>
      <w:r>
        <w:t>9. Conclusiones</w:t>
      </w:r>
    </w:p>
    <w:p>
      <w:pPr>
        <w:spacing w:after="120" w:line="276" w:lineRule="auto"/>
        <w:jc w:val="both"/>
      </w:pPr>
      <w:r>
        <w:t>Las pruebas confirman la correcta integración entre SoapUI, FastAPI, Clerk y PostgreSQL. La API se encontró disponible, el contrato REST fue reconocido y los controles de seguridad respondieron de acuerdo con el diseño del sistema.</w:t>
      </w:r>
    </w:p>
    <w:p>
      <w:pPr>
        <w:spacing w:after="120" w:line="276" w:lineRule="auto"/>
        <w:jc w:val="both"/>
      </w:pPr>
      <w:r>
        <w:t>La separación entre escenarios públicos y autenticados facilita la ejecución repetible y permite diagnosticar rápidamente problemas de infraestructura, credenciales o autorización. No se identificaron defectos bloqueantes en el alcance evaluado.</w:t>
      </w:r>
    </w:p>
    <w:p>
      <w:pPr>
        <w:pStyle w:val="Heading1"/>
        <w:spacing w:before="200" w:after="100"/>
      </w:pPr>
      <w:r>
        <w:t>10. Recomendaciones</w:t>
      </w:r>
    </w:p>
    <w:p>
      <w:pPr>
        <w:pStyle w:val="ListBullet"/>
        <w:spacing w:after="60"/>
      </w:pPr>
      <w:r>
        <w:t>Ejecutar ambas suites antes de cada entrega del backend.</w:t>
      </w:r>
    </w:p>
    <w:p>
      <w:pPr>
        <w:pStyle w:val="ListBullet"/>
        <w:spacing w:after="60"/>
      </w:pPr>
      <w:r>
        <w:t>Renovar los JWT de Clerk inmediatamente antes de las pruebas autenticadas.</w:t>
      </w:r>
    </w:p>
    <w:p>
      <w:pPr>
        <w:pStyle w:val="ListBullet"/>
        <w:spacing w:after="60"/>
      </w:pPr>
      <w:r>
        <w:t>Mantener soapui.properties fuera de Git y no incluir secretos en capturas o informes.</w:t>
      </w:r>
    </w:p>
    <w:p>
      <w:pPr>
        <w:pStyle w:val="ListBullet"/>
        <w:spacing w:after="60"/>
      </w:pPr>
      <w:r>
        <w:t>Integrar el runner de SoapUI en CI/CD usando credenciales de un ambiente exclusivo de QA.</w:t>
      </w:r>
    </w:p>
    <w:p>
      <w:pPr>
        <w:pStyle w:val="ListBullet"/>
        <w:spacing w:after="60"/>
      </w:pPr>
      <w:r>
        <w:t>Agregar pruebas mutables únicamente con fixtures y servicios externos de prueba.</w:t>
      </w:r>
    </w:p>
    <w:p>
      <w:pPr>
        <w:pStyle w:val="ListBullet"/>
        <w:spacing w:after="60"/>
      </w:pPr>
      <w:r>
        <w:t>Conservar los reportes JUnit como evidencia de cada versión evaluada.</w:t>
      </w:r>
    </w:p>
    <w:p>
      <w:pPr>
        <w:pStyle w:val="Heading1"/>
        <w:spacing w:before="200" w:after="100"/>
      </w:pPr>
      <w:r>
        <w:t>11. Dictamen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FF2E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98754"/>
                <w:sz w:val="24"/>
              </w:rPr>
              <w:t>APROBADO — El componente de integración REST del sistema ATS-UCE cumple los criterios definidos para el alcance evaluado.</w:t>
            </w:r>
          </w:p>
        </w:tc>
      </w:tr>
    </w:tbl>
    <w:p/>
    <w:p>
      <w:pPr>
        <w:spacing w:after="120" w:line="276" w:lineRule="auto"/>
        <w:jc w:val="both"/>
      </w:pPr>
      <w:r>
        <w:t>Documento generado a partir del proyecto SoapUI, la salida del TestCaseRunner, la estructura OpenAPI/WADL y las evidencias visuales suministradas durante la ejecución.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Universidad Central del Ecuador — 25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ATS-UCE | Informe de pruebas de integración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