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rial" w:hAnsi="Arial"/>
          <w:b/>
          <w:color w:val="17365D"/>
          <w:sz w:val="52"/>
        </w:rPr>
        <w:t>INFORME DE PRUEBAS</w:t>
        <w:br/>
        <w:t>DE RENDIMIENTO</w:t>
      </w:r>
    </w:p>
    <w:p>
      <w:pPr>
        <w:jc w:val="center"/>
      </w:pPr>
      <w:r>
        <w:rPr>
          <w:color w:val="666666"/>
          <w:sz w:val="34"/>
        </w:rPr>
        <w:t>Sistema ATS-UCE · API REST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3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eter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Herramienta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Apache JMeter 5.6.3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Fecha de ejecución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25/07/2026 14:41:30 (UTC-05:00)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Ambiente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Desarrollo local · http://localhost:8000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Plan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jmeter/ats-uce-performance.jmx</w:t>
            </w:r>
          </w:p>
        </w:tc>
      </w:tr>
    </w:tbl>
    <w:p/>
    <w:p>
      <w:r>
        <w:br w:type="page"/>
      </w:r>
    </w:p>
    <w:p>
      <w:pPr>
        <w:pStyle w:val="Heading1"/>
        <w:spacing w:before="200" w:after="100"/>
      </w:pPr>
      <w:r>
        <w:t>1. Resumen ejecutivo</w:t>
      </w:r>
    </w:p>
    <w:p>
      <w:pPr>
        <w:spacing w:after="120" w:line="259" w:lineRule="auto"/>
        <w:jc w:val="both"/>
      </w:pPr>
      <w:r>
        <w:t>Se ejecutó una prueba de carga sobre dos endpoints públicos de solo lectura de la API ATS-UCE. La ejecución procesó 400 solicitudes en 23.847 segundos, sin errores. El tiempo promedio global fue 4.92 ms y el percentil 95 fue 8.00 ms.</w:t>
      </w:r>
    </w:p>
    <w:p>
      <w:pPr>
        <w:spacing w:after="120" w:line="259" w:lineRule="auto"/>
        <w:jc w:val="both"/>
      </w:pPr>
      <w:r>
        <w:t>Los resultados son satisfactorios para el escenario local evaluado. No constituyen por sí solos una certificación de capacidad productiva, ya que cliente, API y contenedores se ejecutaron en el mismo equipo.</w:t>
      </w:r>
    </w:p>
    <w:p>
      <w:pPr>
        <w:pStyle w:val="Heading1"/>
        <w:spacing w:before="200" w:after="100"/>
      </w:pPr>
      <w:r>
        <w:t>2. Objetivo y alcance</w:t>
      </w:r>
    </w:p>
    <w:p>
      <w:pPr>
        <w:spacing w:after="120" w:line="259" w:lineRule="auto"/>
        <w:jc w:val="both"/>
      </w:pPr>
      <w:r>
        <w:t>El objetivo fue observar estabilidad, latencia y capacidad de respuesta de operaciones seguras de consulta bajo concurrencia progresiva, evitando cambios en la base de datos y la activación de correo, almacenamiento o análisis con inteligencia artificial.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Incluido</w:t>
            </w:r>
          </w:p>
        </w:tc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Excluido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/api/v1/health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Creación y eliminación de vacantes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/api/v1/vacancies/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Carga y procesamiento de hojas de vida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Validación de código HTTP 200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Evaluaciones, aprobaciones y notificaciones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Conexiones HTTP persistentes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Endpoints protegidos con JWT</w:t>
            </w:r>
          </w:p>
        </w:tc>
      </w:tr>
    </w:tbl>
    <w:p/>
    <w:p>
      <w:pPr>
        <w:pStyle w:val="Heading1"/>
        <w:spacing w:before="200" w:after="100"/>
      </w:pPr>
      <w:r>
        <w:t>3. Configuración de la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Usuarios virtuales configurados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Ramp-up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20 segundos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Iteraciones por usuario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Solicitudes por iteración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Pausa entre solicitudes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250 ms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Solicitudes esperadas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Hilos simultáneos máximos observados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Timeout de conexión / respuesta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5.000 ms / 10.000 ms</w:t>
            </w:r>
          </w:p>
        </w:tc>
      </w:tr>
    </w:tbl>
    <w:p/>
    <w:p>
      <w:pPr>
        <w:spacing w:after="120" w:line="259" w:lineRule="auto"/>
        <w:jc w:val="both"/>
      </w:pPr>
      <w:r>
        <w:t>Aunque se configuraron 20 usuarios virtuales, el máximo simultáneo observado fue 6. Esto ocurre porque los usuarios se incorporaron durante el ramp-up y las iteraciones terminaron rápidamente; algunos finalizaron antes de que ingresaran los últimos.</w:t>
      </w:r>
    </w:p>
    <w:p>
      <w:pPr>
        <w:pStyle w:val="Heading1"/>
        <w:spacing w:before="200" w:after="100"/>
      </w:pPr>
      <w:r>
        <w:t>4.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Muestra</w:t>
            </w:r>
          </w:p>
        </w:tc>
        <w:tc>
          <w:tcPr>
            <w:tcW w:type="dxa" w:w="108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08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Error</w:t>
            </w:r>
          </w:p>
        </w:tc>
        <w:tc>
          <w:tcPr>
            <w:tcW w:type="dxa" w:w="108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Prom.</w:t>
            </w:r>
          </w:p>
        </w:tc>
        <w:tc>
          <w:tcPr>
            <w:tcW w:type="dxa" w:w="108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Mediana</w:t>
            </w:r>
          </w:p>
        </w:tc>
        <w:tc>
          <w:tcPr>
            <w:tcW w:type="dxa" w:w="108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P90</w:t>
            </w:r>
          </w:p>
        </w:tc>
        <w:tc>
          <w:tcPr>
            <w:tcW w:type="dxa" w:w="108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P95</w:t>
            </w:r>
          </w:p>
        </w:tc>
        <w:tc>
          <w:tcPr>
            <w:tcW w:type="dxa" w:w="108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P99</w:t>
            </w:r>
          </w:p>
        </w:tc>
        <w:tc>
          <w:tcPr>
            <w:tcW w:type="dxa" w:w="108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Máx.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Health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0.00 %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4.69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4.00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7.00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8.00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10.99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21.00</w:t>
            </w:r>
          </w:p>
        </w:tc>
      </w:tr>
      <w:tr>
        <w:tc>
          <w:tcPr>
            <w:tcW w:type="dxa" w:w="108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GET Public Vacancies</w:t>
            </w:r>
          </w:p>
        </w:tc>
        <w:tc>
          <w:tcPr>
            <w:tcW w:type="dxa" w:w="108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08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0.00 %</w:t>
            </w:r>
          </w:p>
        </w:tc>
        <w:tc>
          <w:tcPr>
            <w:tcW w:type="dxa" w:w="108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5.16</w:t>
            </w:r>
          </w:p>
        </w:tc>
        <w:tc>
          <w:tcPr>
            <w:tcW w:type="dxa" w:w="108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5.00</w:t>
            </w:r>
          </w:p>
        </w:tc>
        <w:tc>
          <w:tcPr>
            <w:tcW w:type="dxa" w:w="108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7.00</w:t>
            </w:r>
          </w:p>
        </w:tc>
        <w:tc>
          <w:tcPr>
            <w:tcW w:type="dxa" w:w="108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8.00</w:t>
            </w:r>
          </w:p>
        </w:tc>
        <w:tc>
          <w:tcPr>
            <w:tcW w:type="dxa" w:w="108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23.90</w:t>
            </w:r>
          </w:p>
        </w:tc>
        <w:tc>
          <w:tcPr>
            <w:tcW w:type="dxa" w:w="108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31.00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0.00 %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4.92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4.00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7.00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8.00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13.97</w:t>
            </w:r>
          </w:p>
        </w:tc>
        <w:tc>
          <w:tcPr>
            <w:tcW w:type="dxa" w:w="108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31.00</w:t>
            </w:r>
          </w:p>
        </w:tc>
      </w:tr>
    </w:tbl>
    <w:p/>
    <w:p>
      <w:pPr>
        <w:spacing w:after="120" w:line="259" w:lineRule="auto"/>
        <w:jc w:val="both"/>
      </w:pPr>
      <w:r>
        <w:t>Todos los tiempos están expresados en milisegundos.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Indicador global</w:t>
            </w:r>
          </w:p>
        </w:tc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Throughput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16.77 solicitudes/segundo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Datos recibidos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4.09 KiB/s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Datos enviados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2.57 KiB/s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Códigos HTTP observados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Errores / fallos de aserción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 / 0</w:t>
            </w:r>
          </w:p>
        </w:tc>
      </w:tr>
    </w:tbl>
    <w:p/>
    <w:p>
      <w:pPr>
        <w:pStyle w:val="Heading1"/>
        <w:spacing w:before="200" w:after="100"/>
      </w:pPr>
      <w:r>
        <w:t>5.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indicativo</w:t>
            </w:r>
          </w:p>
        </w:tc>
        <w:tc>
          <w:tcPr>
            <w:tcW w:type="dxa" w:w="324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4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Tasa de errores = 0 %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0.00 %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CUMPLE</w:t>
            </w:r>
          </w:p>
        </w:tc>
      </w:tr>
      <w:tr>
        <w:tc>
          <w:tcPr>
            <w:tcW w:type="dxa" w:w="3249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Percentil 95 &lt; 500 ms</w:t>
            </w:r>
          </w:p>
        </w:tc>
        <w:tc>
          <w:tcPr>
            <w:tcW w:type="dxa" w:w="3249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8.00 ms</w:t>
            </w:r>
          </w:p>
        </w:tc>
        <w:tc>
          <w:tcPr>
            <w:tcW w:type="dxa" w:w="3249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CUMPLE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Máximo &lt; 1.000 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31.00 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CUMPLE</w:t>
            </w:r>
          </w:p>
        </w:tc>
      </w:tr>
      <w:tr>
        <w:tc>
          <w:tcPr>
            <w:tcW w:type="dxa" w:w="3249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Respuestas HTTP esperadas</w:t>
            </w:r>
          </w:p>
        </w:tc>
        <w:tc>
          <w:tcPr>
            <w:tcW w:type="dxa" w:w="3249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CUMPLE</w:t>
            </w:r>
          </w:p>
        </w:tc>
      </w:tr>
    </w:tbl>
    <w:p/>
    <w:p>
      <w:pPr>
        <w:spacing w:after="120" w:line="259" w:lineRule="auto"/>
        <w:jc w:val="both"/>
      </w:pPr>
      <w:r>
        <w:t>Los umbrales anteriores se emplean como criterios indicativos para esta evaluación y no reemplazan acuerdos de nivel de servicio aprobados por el proyecto. La API mantuvo respuestas correctas y latencias bajas durante la carga aplicada.</w:t>
      </w:r>
    </w:p>
    <w:p>
      <w:pPr>
        <w:pStyle w:val="Heading1"/>
        <w:spacing w:before="200" w:after="100"/>
      </w:pPr>
      <w:r>
        <w:t>6. Conclusiones y recomendaciones</w:t>
      </w:r>
    </w:p>
    <w:p>
      <w:pPr>
        <w:pStyle w:val="ListBullet"/>
      </w:pPr>
      <w:r>
        <w:t>La ejecución finalizó sin errores en las 400 solicitudes realizadas.</w:t>
      </w:r>
    </w:p>
    <w:p>
      <w:pPr>
        <w:pStyle w:val="ListBullet"/>
      </w:pPr>
      <w:r>
        <w:t>Los endpoints de salud y vacantes públicas respondieron de forma estable en el ambiente local.</w:t>
      </w:r>
    </w:p>
    <w:p>
      <w:pPr>
        <w:pStyle w:val="ListBullet"/>
      </w:pPr>
      <w:r>
        <w:t>El percentil 95 global de 8 ms indica baja variabilidad para el escenario medido.</w:t>
      </w:r>
    </w:p>
    <w:p>
      <w:pPr>
        <w:pStyle w:val="ListBullet"/>
      </w:pPr>
      <w:r>
        <w:t>Se recomienda repetir la prueba en un ambiente QA separado, con JMeter en otro equipo y monitoreo de CPU, memoria, base de datos y red.</w:t>
      </w:r>
    </w:p>
    <w:p>
      <w:pPr>
        <w:pStyle w:val="ListBullet"/>
      </w:pPr>
      <w:r>
        <w:t>Para determinar el punto de saturación deben ejecutarse escenarios escalonados y una prueba de duración sostenida.</w:t>
      </w:r>
    </w:p>
    <w:p>
      <w:pPr>
        <w:pStyle w:val="ListBullet"/>
      </w:pPr>
      <w:r>
        <w:t>Los flujos que modifican datos solo deben probarse con fixtures controlados y servicios externos de prueba.</w:t>
      </w:r>
    </w:p>
    <w:p>
      <w:pPr>
        <w:pStyle w:val="Heading1"/>
        <w:spacing w:before="200" w:after="100"/>
      </w:pPr>
      <w:r>
        <w:t>7. Evidencias y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Artefacto</w:t>
            </w:r>
          </w:p>
        </w:tc>
        <w:tc>
          <w:tcPr>
            <w:tcW w:type="dxa" w:w="4873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Ubicación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Plan de prueba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jmeter/ats-uce-performance.jmx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Resultados crudos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jmeter/results/results.jtl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Panel HTML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jmeter/results/html/index.html</w:t>
            </w:r>
          </w:p>
        </w:tc>
      </w:tr>
      <w:tr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Estadísticas utilizadas</w:t>
            </w:r>
          </w:p>
        </w:tc>
        <w:tc>
          <w:tcPr>
            <w:tcW w:type="dxa" w:w="4873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  <w:t>jmeter/results/html/statistics.json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Informe Word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docs/Informe_Pruebas_Rendimiento_JMeter_ATS-UCE.docx</w:t>
            </w:r>
          </w:p>
        </w:tc>
      </w:tr>
    </w:tbl>
    <w:p/>
    <w:p>
      <w:pPr>
        <w:spacing w:after="120" w:line="259" w:lineRule="auto"/>
        <w:jc w:val="both"/>
      </w:pPr>
      <w:r>
        <w:t>El documento fue generado automáticamente a partir de statistics.json y results.jtl. Los valores pueden reproducirse ejecutando nuevamente el plan y regenerando este informe.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Informe de pruebas de rendimiento · Apache JMeter 5.6.3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UNIVERSIDAD CENTRAL DEL ECUADOR  |  ATS-UCE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