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0EA5E9"/>
          <w:sz w:val="76"/>
        </w:rPr>
        <w:t>ATS-UCE</w:t>
      </w:r>
    </w:p>
    <w:p>
      <w:pPr>
        <w:jc w:val="center"/>
      </w:pPr>
      <w:r>
        <w:rPr>
          <w:b/>
          <w:color w:val="071429"/>
          <w:sz w:val="44"/>
        </w:rPr>
        <w:t>INFORME DE PRUEBAS FUNCIONALES E2E</w:t>
      </w:r>
    </w:p>
    <w:p>
      <w:pPr>
        <w:jc w:val="center"/>
      </w:pPr>
      <w:r>
        <w:rPr>
          <w:color w:val="475569"/>
          <w:sz w:val="30"/>
        </w:rPr>
        <w:t>Automatización con Selenium WebDriver y Cucumber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7142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UCE TalentPath — ATS-UCE</w:t>
            </w:r>
          </w:p>
        </w:tc>
      </w:tr>
      <w:tr>
        <w:tc>
          <w:tcPr>
            <w:tcW w:type="dxa" w:w="5040"/>
            <w:shd w:fill="07142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Tipo de prueba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Funcional, interfaz y navegación de extremo a extremo</w:t>
            </w:r>
          </w:p>
        </w:tc>
      </w:tr>
      <w:tr>
        <w:tc>
          <w:tcPr>
            <w:tcW w:type="dxa" w:w="5040"/>
            <w:shd w:fill="07142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Fecha de ejecución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25/07/2026</w:t>
            </w:r>
          </w:p>
        </w:tc>
      </w:tr>
      <w:tr>
        <w:tc>
          <w:tcPr>
            <w:tcW w:type="dxa" w:w="5040"/>
            <w:shd w:fill="07142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Resultado general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5 automatizados aprobados + 6 flujos documentados</w:t>
            </w:r>
          </w:p>
        </w:tc>
      </w:tr>
    </w:tbl>
    <w:p/>
    <w:p>
      <w:pPr>
        <w:jc w:val="center"/>
      </w:pPr>
      <w:r>
        <w:rPr>
          <w:i/>
          <w:color w:val="475569"/>
        </w:rPr>
        <w:t>Universidad Central del Ecuador · Sistema de gestión de reclutamiento docente</w:t>
      </w:r>
    </w:p>
    <w:p>
      <w:r>
        <w:br w:type="page"/>
      </w:r>
    </w:p>
    <w:p>
      <w:pPr>
        <w:pStyle w:val="Heading1"/>
      </w:pPr>
      <w:r>
        <w:rPr>
          <w:color w:val="071429"/>
        </w:rPr>
        <w:t>1. Resumen ejecutivo</w:t>
      </w:r>
    </w:p>
    <w:p>
      <w:r>
        <w:t>Se automatizaron y ejecutaron pruebas funcionales de extremo a extremo sobre la interfaz pública de ATS-UCE. La validación comprobó la carga de la portada, la navegación al registro y las principales validaciones del formulario. El informe se complementa con evidencias de vacantes, postulación, análisis de IA, revisión de RR. HH. y decisión de autoridad.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7142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Escenarios</w:t>
            </w:r>
          </w:p>
        </w:tc>
        <w:tc>
          <w:tcPr>
            <w:tcW w:type="dxa" w:w="2520"/>
            <w:shd w:fill="07142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Pasos</w:t>
            </w:r>
          </w:p>
        </w:tc>
        <w:tc>
          <w:tcPr>
            <w:tcW w:type="dxa" w:w="2520"/>
            <w:shd w:fill="07142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Aprobados</w:t>
            </w:r>
          </w:p>
        </w:tc>
        <w:tc>
          <w:tcPr>
            <w:tcW w:type="dxa" w:w="2520"/>
            <w:shd w:fill="07142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Fallidos</w:t>
            </w:r>
          </w:p>
        </w:tc>
      </w:tr>
      <w:tr>
        <w:tc>
          <w:tcPr>
            <w:tcW w:type="dxa" w:w="2520"/>
            <w:shd w:fill="DCFCE7"/>
            <w:vAlign w:val="center"/>
          </w:tcPr>
          <w:p>
            <w:r/>
            <w:r>
              <w:rPr>
                <w:rFonts w:ascii="Aptos" w:hAnsi="Aptos"/>
                <w:b/>
                <w:color w:val="071429"/>
                <w:sz w:val="22"/>
              </w:rPr>
              <w:t>5</w:t>
            </w:r>
          </w:p>
        </w:tc>
        <w:tc>
          <w:tcPr>
            <w:tcW w:type="dxa" w:w="2520"/>
            <w:shd w:fill="DCFCE7"/>
            <w:vAlign w:val="center"/>
          </w:tcPr>
          <w:p>
            <w:r/>
            <w:r>
              <w:rPr>
                <w:rFonts w:ascii="Aptos" w:hAnsi="Aptos"/>
                <w:b/>
                <w:color w:val="071429"/>
                <w:sz w:val="22"/>
              </w:rPr>
              <w:t>31</w:t>
            </w:r>
          </w:p>
        </w:tc>
        <w:tc>
          <w:tcPr>
            <w:tcW w:type="dxa" w:w="2520"/>
            <w:shd w:fill="DCFCE7"/>
            <w:vAlign w:val="center"/>
          </w:tcPr>
          <w:p>
            <w:r/>
            <w:r>
              <w:rPr>
                <w:rFonts w:ascii="Aptos" w:hAnsi="Aptos"/>
                <w:b/>
                <w:color w:val="071429"/>
                <w:sz w:val="22"/>
              </w:rPr>
              <w:t>5 (100 %)</w:t>
            </w:r>
          </w:p>
        </w:tc>
        <w:tc>
          <w:tcPr>
            <w:tcW w:type="dxa" w:w="2520"/>
            <w:shd w:fill="DCFCE7"/>
            <w:vAlign w:val="center"/>
          </w:tcPr>
          <w:p>
            <w:r/>
            <w:r>
              <w:rPr>
                <w:rFonts w:ascii="Aptos" w:hAnsi="Aptos"/>
                <w:b/>
                <w:color w:val="071429"/>
                <w:sz w:val="22"/>
              </w:rPr>
              <w:t>0</w:t>
            </w:r>
          </w:p>
        </w:tc>
      </w:tr>
    </w:tbl>
    <w:p>
      <w:r>
        <w:t>Cobertura complementaria documentada: 6 casos de negocio autenticados (CP-06 a CP-11). Estos casos se sustentan con capturas manuales aportadas por el equipo y se separan de los resultados automatizados.</w:t>
      </w:r>
    </w:p>
    <w:p>
      <w:pPr>
        <w:pStyle w:val="Heading1"/>
      </w:pPr>
      <w:r>
        <w:rPr>
          <w:color w:val="071429"/>
        </w:rPr>
        <w:t>2. Objetivo y alcance</w:t>
      </w:r>
    </w:p>
    <w:p>
      <w:r>
        <w:t>Objetivo: verificar automáticamente que un visitante pueda acceder a la interfaz pública, identificar la plataforma ATS-UCE y llegar al proceso de registro mediante la acción principal.</w:t>
      </w:r>
    </w:p>
    <w:p>
      <w:r>
        <w:t>Alcance automatizado: página principal, ruta pública /sign-up, obligatoriedad de campos, coincidencia de contraseñas y regla de correo institucional. Alcance documentado: creación de vacantes, postulación con CV, resultado de IA, ranking y evaluación de RR. HH., y decisión de autoridad. Los flujos autenticados no fueron automatizados en esta ejecución.</w:t>
      </w:r>
    </w:p>
    <w:p>
      <w:pPr>
        <w:pStyle w:val="Heading1"/>
      </w:pPr>
      <w:r>
        <w:rPr>
          <w:color w:val="071429"/>
        </w:rPr>
        <w:t>3. Entorno y herramientas</w:t>
      </w:r>
    </w:p>
    <w:p>
      <w:pPr>
        <w:pStyle w:val="ListBullet"/>
      </w:pPr>
      <w:r>
        <w:t>Aplicación: frontend React + Vite de ATS-UCE.</w:t>
      </w:r>
    </w:p>
    <w:p>
      <w:pPr>
        <w:pStyle w:val="ListBullet"/>
      </w:pPr>
      <w:r>
        <w:t>Automatización BDD: Cucumber 13.2.0.</w:t>
      </w:r>
    </w:p>
    <w:p>
      <w:pPr>
        <w:pStyle w:val="ListBullet"/>
      </w:pPr>
      <w:r>
        <w:t>Navegador: Google Chrome 150.</w:t>
      </w:r>
    </w:p>
    <w:p>
      <w:pPr>
        <w:pStyle w:val="ListBullet"/>
      </w:pPr>
      <w:r>
        <w:t>Controlador: ChromeDriver 150.0.4.</w:t>
      </w:r>
    </w:p>
    <w:p>
      <w:pPr>
        <w:pStyle w:val="ListBullet"/>
      </w:pPr>
      <w:r>
        <w:t>Motor: Selenium WebDriver 4.46.0.</w:t>
      </w:r>
    </w:p>
    <w:p>
      <w:pPr>
        <w:pStyle w:val="ListBullet"/>
      </w:pPr>
      <w:r>
        <w:t>Modo de ejecución: Chrome headless, ventana de 1440 × 1000 px.</w:t>
      </w:r>
    </w:p>
    <w:p>
      <w:pPr>
        <w:pStyle w:val="ListBullet"/>
      </w:pPr>
      <w:r>
        <w:t>URL evaluada: http://localhost:5173.</w:t>
      </w:r>
    </w:p>
    <w:p>
      <w:pPr>
        <w:pStyle w:val="Heading1"/>
      </w:pPr>
      <w:r>
        <w:rPr>
          <w:color w:val="071429"/>
        </w:rPr>
        <w:t>4. Matriz de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648"/>
            <w:shd w:fill="07142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shd w:fill="07142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1512"/>
            <w:shd w:fill="07142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Precondición</w:t>
            </w:r>
          </w:p>
        </w:tc>
        <w:tc>
          <w:tcPr>
            <w:tcW w:type="dxa" w:w="2448"/>
            <w:shd w:fill="07142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Acciones</w:t>
            </w:r>
          </w:p>
        </w:tc>
        <w:tc>
          <w:tcPr>
            <w:tcW w:type="dxa" w:w="2448"/>
            <w:shd w:fill="07142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936"/>
            <w:shd w:fill="07142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CP-01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Visualización de portada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Frontend disponible.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Abrir la URL base.</w:t>
              <w:br/>
              <w:t>2. Localizar el título.</w:t>
              <w:br/>
              <w:t>3. Verificar el mensaje principal.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 muestra "ATS-UCE" y el texto principal de talento académico.</w:t>
            </w:r>
          </w:p>
        </w:tc>
        <w:tc>
          <w:tcPr>
            <w:tcW w:type="dxa" w:w="1680"/>
            <w:vAlign w:val="center"/>
            <w:shd w:fill="DCFCE7"/>
          </w:tcPr>
          <w:p>
            <w:r/>
            <w:r>
              <w:rPr>
                <w:rFonts w:ascii="Aptos" w:hAnsi="Aptos"/>
                <w:b/>
                <w:sz w:val="16"/>
              </w:rPr>
              <w:t>APROBADO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CP-02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Navegación al registro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Visitante ubicado en la portada.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Abrir la URL base.</w:t>
              <w:br/>
              <w:t>2. Pulsar "Explore Platform".</w:t>
              <w:br/>
              <w:t>3. Validar la ruta.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 aplicación navega correctamente a /sign-up.</w:t>
            </w:r>
          </w:p>
        </w:tc>
        <w:tc>
          <w:tcPr>
            <w:tcW w:type="dxa" w:w="1680"/>
            <w:vAlign w:val="center"/>
            <w:shd w:fill="DCFCE7"/>
          </w:tcPr>
          <w:p>
            <w:r/>
            <w:r>
              <w:rPr>
                <w:rFonts w:ascii="Aptos" w:hAnsi="Aptos"/>
                <w:b/>
                <w:sz w:val="16"/>
              </w:rPr>
              <w:t>APROBADO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CP-03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Campos obligatorios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Formulario de registro disponible.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Abrir /sign-up.</w:t>
              <w:br/>
              <w:t>2. Pulsar "Create account" sin ingresar datos.</w:t>
              <w:br/>
              <w:t>3. Revisar errores.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El formulario bloquea el envío y marca los campos obligatorios.</w:t>
            </w:r>
          </w:p>
        </w:tc>
        <w:tc>
          <w:tcPr>
            <w:tcW w:type="dxa" w:w="1680"/>
            <w:vAlign w:val="center"/>
            <w:shd w:fill="DCFCE7"/>
          </w:tcPr>
          <w:p>
            <w:r/>
            <w:r>
              <w:rPr>
                <w:rFonts w:ascii="Aptos" w:hAnsi="Aptos"/>
                <w:b/>
                <w:sz w:val="16"/>
              </w:rPr>
              <w:t>APROBADO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CP-04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Contraseñas diferentes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Formulario de registro disponible.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Completar datos válidos.</w:t>
              <w:br/>
              <w:t>2. Ingresar contraseñas distintas.</w:t>
              <w:br/>
              <w:t>3. Enviar.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 muestra "Passwords do not match" y no se envía el formulario.</w:t>
            </w:r>
          </w:p>
        </w:tc>
        <w:tc>
          <w:tcPr>
            <w:tcW w:type="dxa" w:w="1680"/>
            <w:vAlign w:val="center"/>
            <w:shd w:fill="DCFCE7"/>
          </w:tcPr>
          <w:p>
            <w:r/>
            <w:r>
              <w:rPr>
                <w:rFonts w:ascii="Aptos" w:hAnsi="Aptos"/>
                <w:b/>
                <w:sz w:val="16"/>
              </w:rPr>
              <w:t>APROBADO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CP-05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Correo institucional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Formulario de registro disponible.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Elegir Recursos Humanos.</w:t>
              <w:br/>
              <w:t>2. Usar correo externo.</w:t>
              <w:br/>
              <w:t>3. Enviar.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El rol institucional rechaza correos que no terminan en @uce.edu.ec.</w:t>
            </w:r>
          </w:p>
        </w:tc>
        <w:tc>
          <w:tcPr>
            <w:tcW w:type="dxa" w:w="1680"/>
            <w:vAlign w:val="center"/>
            <w:shd w:fill="DCFCE7"/>
          </w:tcPr>
          <w:p>
            <w:r/>
            <w:r>
              <w:rPr>
                <w:rFonts w:ascii="Aptos" w:hAnsi="Aptos"/>
                <w:b/>
                <w:sz w:val="16"/>
              </w:rPr>
              <w:t>APROBADO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CP-06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Crear una vacante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Usuario autenticado como RR. HH.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Abrir Vacancies.</w:t>
              <w:br/>
              <w:t>2. Crear vacante.</w:t>
              <w:br/>
              <w:t>3. Completar puesto, facultad, requisitos y descripción.</w:t>
              <w:br/>
              <w:t>4. Guardar.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 vacante se publica y queda disponible para los postulantes.</w:t>
            </w:r>
          </w:p>
        </w:tc>
        <w:tc>
          <w:tcPr>
            <w:tcW w:type="dxa" w:w="1680"/>
            <w:vAlign w:val="center"/>
            <w:shd w:fill="DCFCE7"/>
          </w:tcPr>
          <w:p>
            <w:r/>
            <w:r>
              <w:rPr>
                <w:rFonts w:ascii="Aptos" w:hAnsi="Aptos"/>
                <w:b/>
                <w:sz w:val="16"/>
              </w:rPr>
              <w:t>DOCUMENTADO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CP-07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Seleccionar vacante y CV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Postulante autenticado y vacante activa.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Abrir Applicant Portal.</w:t>
              <w:br/>
              <w:t>2. Elegir vacante.</w:t>
              <w:br/>
              <w:t>3. Adjuntar PDF de hasta 10 MB.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El sistema acepta un PDF válido y habilita el envío de la postulación.</w:t>
            </w:r>
          </w:p>
        </w:tc>
        <w:tc>
          <w:tcPr>
            <w:tcW w:type="dxa" w:w="1680"/>
            <w:vAlign w:val="center"/>
            <w:shd w:fill="DCFCE7"/>
          </w:tcPr>
          <w:p>
            <w:r/>
            <w:r>
              <w:rPr>
                <w:rFonts w:ascii="Aptos" w:hAnsi="Aptos"/>
                <w:b/>
                <w:sz w:val="16"/>
              </w:rPr>
              <w:t>DOCUMENTADO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CP-08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Confirmar postulación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Vacante y CV seleccionados.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Enviar postulación.</w:t>
              <w:br/>
              <w:t>2. Esperar confirmación.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 muestra “Application submitted!” y comienza el análisis automático.</w:t>
            </w:r>
          </w:p>
        </w:tc>
        <w:tc>
          <w:tcPr>
            <w:tcW w:type="dxa" w:w="1680"/>
            <w:vAlign w:val="center"/>
            <w:shd w:fill="DCFCE7"/>
          </w:tcPr>
          <w:p>
            <w:r/>
            <w:r>
              <w:rPr>
                <w:rFonts w:ascii="Aptos" w:hAnsi="Aptos"/>
                <w:b/>
                <w:sz w:val="16"/>
              </w:rPr>
              <w:t>DOCUMENTADO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CP-09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Seguimiento y resultado IA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Postulación procesada.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Consultar estado.</w:t>
              <w:br/>
              <w:t>2. Revisar etapas.</w:t>
              <w:br/>
              <w:t>3. Revisar puntaje por dimensiones.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 muestran estado, puntaje global y desglose del análisis de IA.</w:t>
            </w:r>
          </w:p>
        </w:tc>
        <w:tc>
          <w:tcPr>
            <w:tcW w:type="dxa" w:w="1680"/>
            <w:vAlign w:val="center"/>
            <w:shd w:fill="DCFCE7"/>
          </w:tcPr>
          <w:p>
            <w:r/>
            <w:r>
              <w:rPr>
                <w:rFonts w:ascii="Aptos" w:hAnsi="Aptos"/>
                <w:b/>
                <w:sz w:val="16"/>
              </w:rPr>
              <w:t>DOCUMENTADO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CP-10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Evaluación de RR. HH.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Candidato en HR Review.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Abrir ranking.</w:t>
              <w:br/>
              <w:t>2. Revisar CV y puntaje.</w:t>
              <w:br/>
              <w:t>3. Aprobar o rechazar con observación.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 decisión queda registrada y el proceso avanza o finaliza.</w:t>
            </w:r>
          </w:p>
        </w:tc>
        <w:tc>
          <w:tcPr>
            <w:tcW w:type="dxa" w:w="1680"/>
            <w:vAlign w:val="center"/>
            <w:shd w:fill="DCFCE7"/>
          </w:tcPr>
          <w:p>
            <w:r/>
            <w:r>
              <w:rPr>
                <w:rFonts w:ascii="Aptos" w:hAnsi="Aptos"/>
                <w:b/>
                <w:sz w:val="16"/>
              </w:rPr>
              <w:t>DOCUMENTADO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CP-11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Decisión de autoridad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Candidato pendiente de aprobación.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Revisar análisis e historial.</w:t>
              <w:br/>
              <w:t>2. Añadir justificación.</w:t>
              <w:br/>
              <w:t>3. Aprobar o rechazar.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 autoridad registra su decisión dentro de la cadena de aprobación.</w:t>
            </w:r>
          </w:p>
        </w:tc>
        <w:tc>
          <w:tcPr>
            <w:tcW w:type="dxa" w:w="1680"/>
            <w:vAlign w:val="center"/>
            <w:shd w:fill="DCFCE7"/>
          </w:tcPr>
          <w:p>
            <w:r/>
            <w:r>
              <w:rPr>
                <w:rFonts w:ascii="Aptos" w:hAnsi="Aptos"/>
                <w:b/>
                <w:sz w:val="16"/>
              </w:rPr>
              <w:t>DOCUMENTADO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71429"/>
        </w:rPr>
        <w:t>5. Evidencias de ejecución</w:t>
      </w:r>
    </w:p>
    <w:p>
      <w:pPr>
        <w:pStyle w:val="Heading2"/>
      </w:pPr>
      <w:r>
        <w:rPr>
          <w:color w:val="0EA5E9"/>
        </w:rPr>
        <w:t>CP-01 — La portada muestra la información principal</w:t>
      </w:r>
    </w:p>
    <w:p>
      <w:r>
        <w:t>Resultado observado: el encabezado ATS-UCE, el mensaje principal, los botones de acción y el formulario de acceso del postulante se mostraron correctamente. Las aserciones de contenido fueron satisfactorias.</w:t>
      </w:r>
    </w:p>
    <w:p>
      <w:r>
        <w:drawing>
          <wp:inline xmlns:a="http://schemas.openxmlformats.org/drawingml/2006/main" xmlns:pic="http://schemas.openxmlformats.org/drawingml/2006/picture">
            <wp:extent cx="6400800" cy="3817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-portada-muestra-la-informacion-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1. Portada pública de ATS-UCE validada por Selenium.</w:t>
      </w:r>
    </w:p>
    <w:p>
      <w:pPr>
        <w:pStyle w:val="Heading2"/>
      </w:pPr>
      <w:r>
        <w:rPr>
          <w:color w:val="0EA5E9"/>
        </w:rPr>
        <w:t>CP-02 — El visitante puede ir al registro</w:t>
      </w:r>
    </w:p>
    <w:p>
      <w:r>
        <w:t>Resultado observado: después de pulsar "Explore Platform", el navegador llegó a la ruta /sign-up y mostró el formulario de creación de cuenta.</w:t>
      </w:r>
    </w:p>
    <w:p>
      <w:r>
        <w:drawing>
          <wp:inline xmlns:a="http://schemas.openxmlformats.org/drawingml/2006/main" xmlns:pic="http://schemas.openxmlformats.org/drawingml/2006/picture">
            <wp:extent cx="6400800" cy="3817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-visitante-puede-ir-al-regist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2. Pantalla de registro alcanzada desde la portada.</w:t>
      </w:r>
    </w:p>
    <w:p>
      <w:r>
        <w:br w:type="page"/>
      </w:r>
    </w:p>
    <w:p>
      <w:pPr>
        <w:pStyle w:val="Heading2"/>
      </w:pPr>
      <w:r>
        <w:rPr>
          <w:color w:val="0EA5E9"/>
        </w:rPr>
        <w:t>CP-03 — El formulario exige los campos obligatorios</w:t>
      </w:r>
    </w:p>
    <w:p>
      <w:r>
        <w:t>Resultado observado: el formulario bloqueó el envío vacío y mostró errores para nombres, rol, correo y contraseñas. Se observó que el rol presenta un mensaje técnico de Zod en lugar del texto amigable “Role is required”; esto no impide la validación, pero se recomienda corregirlo.</w:t>
      </w:r>
    </w:p>
    <w:p>
      <w:r>
        <w:drawing>
          <wp:inline xmlns:a="http://schemas.openxmlformats.org/drawingml/2006/main" xmlns:pic="http://schemas.openxmlformats.org/drawingml/2006/picture">
            <wp:extent cx="6400800" cy="3817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-formulario-exige-los-campos-obligato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3. Validaciones visibles al enviar el formulario vacío.</w:t>
      </w:r>
    </w:p>
    <w:p>
      <w:pPr>
        <w:pStyle w:val="Heading2"/>
      </w:pPr>
      <w:r>
        <w:rPr>
          <w:color w:val="0EA5E9"/>
        </w:rPr>
        <w:t>CP-04 — El formulario rechaza contraseñas diferentes</w:t>
      </w:r>
    </w:p>
    <w:p>
      <w:r>
        <w:t>Resultado observado: al ingresar dos contraseñas distintas, la interfaz mostró “Passwords do not match” y evitó el registro.</w:t>
      </w:r>
    </w:p>
    <w:p>
      <w:r>
        <w:drawing>
          <wp:inline xmlns:a="http://schemas.openxmlformats.org/drawingml/2006/main" xmlns:pic="http://schemas.openxmlformats.org/drawingml/2006/picture">
            <wp:extent cx="6400800" cy="38170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-formulario-rechaza-contrasenas-difer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4. Validación de coincidencia de contraseñas.</w:t>
      </w:r>
    </w:p>
    <w:p>
      <w:pPr>
        <w:pStyle w:val="Heading2"/>
      </w:pPr>
      <w:r>
        <w:rPr>
          <w:color w:val="0EA5E9"/>
        </w:rPr>
        <w:t>CP-05 — Los roles institucionales requieren correo UCE</w:t>
      </w:r>
    </w:p>
    <w:p>
      <w:r>
        <w:t>Resultado observado: Recursos Humanos con un correo externo fue rechazado y se mostró la restricción de dominio @uce.edu.ec.</w:t>
      </w:r>
    </w:p>
    <w:p>
      <w:r>
        <w:drawing>
          <wp:inline xmlns:a="http://schemas.openxmlformats.org/drawingml/2006/main" xmlns:pic="http://schemas.openxmlformats.org/drawingml/2006/picture">
            <wp:extent cx="6400800" cy="38170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-roles-institucionales-requieren-correo-u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5. Validación del correo institucional para RR. HH.</w:t>
      </w:r>
    </w:p>
    <w:p>
      <w:pPr>
        <w:pStyle w:val="Heading1"/>
      </w:pPr>
      <w:r>
        <w:rPr>
          <w:color w:val="071429"/>
        </w:rPr>
        <w:t>6. Resultado de la ejecución</w:t>
      </w:r>
    </w:p>
    <w:p>
      <w:r>
        <w:rPr>
          <w:b/>
          <w:color w:val="15803D"/>
          <w:sz w:val="26"/>
        </w:rPr>
        <w:t>5 escenarios aprobados · 31 pasos aprobados · 0 fallos</w:t>
      </w:r>
    </w:p>
    <w:p>
      <w:r>
        <w:t>Tiempo registrado por Cucumber: 7.607 segundos. El resultado general se considera APROBADO para el alcance definido.</w:t>
      </w:r>
    </w:p>
    <w:p>
      <w:pPr>
        <w:pStyle w:val="Heading1"/>
      </w:pPr>
      <w:r>
        <w:rPr>
          <w:color w:val="071429"/>
        </w:rPr>
        <w:t>7. Evidencias de flujos autenticados</w:t>
      </w:r>
    </w:p>
    <w:p>
      <w:r>
        <w:t>Las figuras siguientes fueron proporcionadas por el equipo como evidencia manual. Complementan la cobertura, pero no forman parte del conteo de escenarios ejecutados automáticamente por Cucumber.</w:t>
      </w:r>
    </w:p>
    <w:p>
      <w:pPr>
        <w:pStyle w:val="Heading2"/>
      </w:pPr>
      <w:r>
        <w:rPr>
          <w:color w:val="0EA5E9"/>
        </w:rPr>
        <w:t>CP-06 — Creación y publicación de vacantes</w:t>
      </w:r>
    </w:p>
    <w:p>
      <w:r>
        <w:t>Se documentó el flujo de Recursos Humanos para crear una vacante mediante el formulario “New Vacancy”. Deben validarse como obligatorios Position y Faculty; también se registran Department, Requirements y Description. La lista de facultades incluye Engineering, Life Sciences, Law, Economics, Arts, Mathematics, Administrative Sciences y Medicine. Al pulsar “Save Vacancy”, la nueva oferta debe quedar disponible en el portal del postulante.</w:t>
      </w:r>
    </w:p>
    <w:p>
      <w:pPr>
        <w:pStyle w:val="Heading2"/>
      </w:pPr>
      <w:r>
        <w:rPr>
          <w:color w:val="0EA5E9"/>
        </w:rPr>
        <w:t>CP-07 — Selección de vacante y carga de CV</w:t>
      </w:r>
    </w:p>
    <w:p>
      <w:r>
        <w:t>Se documentó que el Applicant Portal lista las vacantes publicadas y permite seleccionar una antes de cargar el currículo. El archivo aceptado debe ser PDF y no superar 10 MB. Con vacante y archivo válidos, se habilita “Submit New Application”; la postulación queda asociada a la vacante seleccionada.</w:t>
      </w:r>
    </w:p>
    <w:p>
      <w:pPr>
        <w:pStyle w:val="Heading2"/>
      </w:pPr>
      <w:r>
        <w:rPr>
          <w:color w:val="0EA5E9"/>
        </w:rPr>
        <w:t>CP-08 — Confirmación y estado de la postulación</w:t>
      </w:r>
    </w:p>
    <w:p>
      <w:r>
        <w:drawing>
          <wp:inline xmlns:a="http://schemas.openxmlformats.org/drawingml/2006/main" xmlns:pic="http://schemas.openxmlformats.org/drawingml/2006/picture">
            <wp:extent cx="6400800" cy="5541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-stat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41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6. Postulación recibida, análisis IA completado y revisión de RR. HH. pendiente.</w:t>
      </w:r>
    </w:p>
    <w:p>
      <w:pPr>
        <w:pStyle w:val="Heading2"/>
      </w:pPr>
      <w:r>
        <w:rPr>
          <w:color w:val="0EA5E9"/>
        </w:rPr>
        <w:t>CP-09 — Resultado del análisis de IA</w:t>
      </w:r>
    </w:p>
    <w:p>
      <w:r>
        <w:drawing>
          <wp:inline xmlns:a="http://schemas.openxmlformats.org/drawingml/2006/main" xmlns:pic="http://schemas.openxmlformats.org/drawingml/2006/picture">
            <wp:extent cx="6400800" cy="7721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-ai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72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7. Puntaje global y dimensiones del análisis automático.</w:t>
      </w:r>
    </w:p>
    <w:p>
      <w:pPr>
        <w:pStyle w:val="Heading2"/>
      </w:pPr>
      <w:r>
        <w:rPr>
          <w:color w:val="0EA5E9"/>
        </w:rPr>
        <w:t>CP-10 — Ranking de candidatos en Recursos Humanos</w:t>
      </w:r>
    </w:p>
    <w:p>
      <w:r>
        <w:drawing>
          <wp:inline xmlns:a="http://schemas.openxmlformats.org/drawingml/2006/main" xmlns:pic="http://schemas.openxmlformats.org/drawingml/2006/picture">
            <wp:extent cx="6400800" cy="24481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ran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8. Ranking con vacante, facultad, puntaje, estado y acciones.</w:t>
      </w:r>
    </w:p>
    <w:p>
      <w:pPr>
        <w:pStyle w:val="Heading2"/>
      </w:pPr>
      <w:r>
        <w:rPr>
          <w:color w:val="0EA5E9"/>
        </w:rPr>
        <w:t>CP-10 — Registro de decisión de Recursos Humanos</w:t>
      </w:r>
    </w:p>
    <w:p>
      <w:r>
        <w:drawing>
          <wp:inline xmlns:a="http://schemas.openxmlformats.org/drawingml/2006/main" xmlns:pic="http://schemas.openxmlformats.org/drawingml/2006/picture">
            <wp:extent cx="6400800" cy="36352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r-dec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5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9. Modal para aprobar o rechazar con observaciones.</w:t>
      </w:r>
    </w:p>
    <w:p>
      <w:pPr>
        <w:pStyle w:val="Heading2"/>
      </w:pPr>
      <w:r>
        <w:rPr>
          <w:color w:val="0EA5E9"/>
        </w:rPr>
        <w:t>CP-11 — Portal y decisión de autoridad</w:t>
      </w:r>
    </w:p>
    <w:p>
      <w:r>
        <w:drawing>
          <wp:inline xmlns:a="http://schemas.openxmlformats.org/drawingml/2006/main" xmlns:pic="http://schemas.openxmlformats.org/drawingml/2006/picture">
            <wp:extent cx="6400800" cy="57421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ity-port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42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10. Resumen IA, historial y acciones de aprobación de autoridad.</w:t>
      </w:r>
    </w:p>
    <w:p>
      <w:pPr>
        <w:pStyle w:val="Heading1"/>
      </w:pPr>
      <w:r>
        <w:rPr>
          <w:color w:val="071429"/>
        </w:rPr>
        <w:t>8. Conclusiones y recomendaciones</w:t>
      </w:r>
    </w:p>
    <w:p>
      <w:pPr>
        <w:pStyle w:val="ListBullet"/>
      </w:pPr>
      <w:r>
        <w:t>La interfaz pública carga y presenta los elementos críticos esperados.</w:t>
      </w:r>
    </w:p>
    <w:p>
      <w:pPr>
        <w:pStyle w:val="ListBullet"/>
      </w:pPr>
      <w:r>
        <w:t>La navegación principal hacia el registro funciona correctamente.</w:t>
      </w:r>
    </w:p>
    <w:p>
      <w:pPr>
        <w:pStyle w:val="ListBullet"/>
      </w:pPr>
      <w:r>
        <w:t>El formulario bloquea datos incompletos, contraseñas diferentes y correos externos para roles institucionales.</w:t>
      </w:r>
    </w:p>
    <w:p>
      <w:pPr>
        <w:pStyle w:val="ListBullet"/>
      </w:pPr>
      <w:r>
        <w:t>Conviene reemplazar el mensaje técnico del selector de rol por “Role is required” para mejorar la experiencia del usuario.</w:t>
      </w:r>
    </w:p>
    <w:p>
      <w:pPr>
        <w:pStyle w:val="ListBullet"/>
      </w:pPr>
      <w:r>
        <w:t>Las evidencias quedan guardadas automáticamente para ejecuciones futuras.</w:t>
      </w:r>
    </w:p>
    <w:p>
      <w:pPr>
        <w:pStyle w:val="ListBullet"/>
      </w:pPr>
      <w:r>
        <w:t>Como siguiente incremento, conviene automatizar registro, inicio de sesión y flujos por rol usando usuarios exclusivos del ambiente de pruebas.</w:t>
      </w:r>
    </w:p>
    <w:p>
      <w:pPr>
        <w:pStyle w:val="ListBullet"/>
      </w:pPr>
      <w:r>
        <w:t>En integración continua se recomienda ejecutar la suite contra un entorno QA aislado y conservar el reporte HTML y las capturas como artefactos.</w:t>
      </w:r>
    </w:p>
    <w:p>
      <w:pPr>
        <w:pStyle w:val="ListBullet"/>
      </w:pPr>
      <w:r>
        <w:t>Para automatizar CP-06 a CP-11 se requieren cuentas exclusivas de QA para postulante, Recursos Humanos y autoridad, además de datos reiniciables.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ATS-UCE · Informe de pruebas E2E · Selenium + Cucumber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