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Instrumentos de la Unidad 3</w:t>
      </w:r>
    </w:p>
    <w:p>
      <w:r>
        <w:rPr>
          <w:color w:val="345A8A"/>
          <w:sz w:val="25"/>
        </w:rPr>
        <w:t>Formatos F-21 a F-28 · Actividades 3.1 y 3.2</w:t>
      </w:r>
    </w:p>
    <w:p>
      <w:pPr>
        <w:spacing w:after="20"/>
      </w:pPr>
      <w:r>
        <w:rPr>
          <w:color w:val="55606E"/>
          <w:sz w:val="20"/>
        </w:rPr>
        <w:t>Curso Arquitectura Empresarial · Maestría en Ingeniería de Software · Universidad de La Sabana</w:t>
      </w:r>
    </w:p>
    <w:p>
      <w:pPr>
        <w:spacing w:after="20"/>
      </w:pPr>
      <w:r>
        <w:rPr>
          <w:color w:val="55606E"/>
          <w:sz w:val="20"/>
        </w:rPr>
        <w:t>Unidad 3 — Gobierno y Gobernanza de Arquitectura Empresarial</w:t>
      </w:r>
    </w:p>
    <w:p>
      <w:pPr>
        <w:spacing w:after="20"/>
      </w:pPr>
      <w:r>
        <w:rPr>
          <w:color w:val="55606E"/>
          <w:sz w:val="20"/>
        </w:rPr>
        <w:t>TOGAF® Standard, 10.ª edición · COBIT® 2019 · ITIL® 4</w:t>
      </w:r>
    </w:p>
    <w:p/>
    <w:p>
      <w:pPr>
        <w:pStyle w:val="Heading1"/>
      </w:pPr>
      <w:r>
        <w:t>Cómo se usan estos formatos</w:t>
      </w:r>
    </w:p>
    <w:p>
      <w:r>
        <w:t xml:space="preserve">Estos ocho formatos son el borrador de lo que se entrega. El F-21 es el borrador de los dos comparativos de la Actividad 3.1; del F-22 al F-26 salen las secciones del documento de gobierno de la Actividad 3.2. Cada campo que llenan aquí es un párrafo que no van a tener que escribir después. </w:t>
      </w:r>
      <w:r>
        <w:rPr>
          <w:b/>
        </w:rPr>
        <w:t>Los formatos no se suben a la plataforma:</w:t>
      </w:r>
      <w:r>
        <w:t xml:space="preserve"> se sube el documento.</w:t>
      </w:r>
    </w:p>
    <w:p>
      <w:r>
        <w:t>El orden de llenado importa: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73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Orden</w:t>
            </w:r>
          </w:p>
        </w:tc>
        <w:tc>
          <w:tcPr>
            <w:tcW w:type="dxa" w:w="294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Formato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Cuándo</w:t>
            </w:r>
          </w:p>
        </w:tc>
        <w:tc>
          <w:tcPr>
            <w:tcW w:type="dxa" w:w="209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Dónde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9"/>
              </w:rPr>
              <w:t>F-21 Comparativos de gobierno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Antes de la sesión y en la semana siguiente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Individual · Actividad 3.1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9"/>
              </w:rPr>
              <w:t>F-23 Catálogo de principios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En el taller de la sesión: uno o dos principios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En sala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9"/>
              </w:rPr>
              <w:t>F-24 Revisión de cumplimiento y excepciones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En el taller: un episodio hasta el dictamen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En sala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9"/>
              </w:rPr>
              <w:t>F-22 Diseño del ARB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En el taller: las sillas; el resto fuera de clase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En sala y en grupo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9"/>
              </w:rPr>
              <w:t>F-25 Articulación COBIT 2019 e ITIL 4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Fuera de clase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En grupo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9"/>
              </w:rPr>
              <w:t>F-26 Métricas y riesgos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Fuera de clase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En grupo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9"/>
              </w:rPr>
              <w:t>F-28 Verificación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Antes de entregar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En grupo</w:t>
            </w:r>
          </w:p>
        </w:tc>
      </w:tr>
    </w:tbl>
    <w:p>
      <w:pPr>
        <w:spacing w:after="40"/>
      </w:pPr>
    </w:p>
    <w:p>
      <w:r>
        <w:t>El F-27 lo usa el docente para la retroalimentación de la Actividad 3.1.</w:t>
      </w:r>
    </w:p>
    <w:p>
      <w:r>
        <w:rPr>
          <w:b/>
        </w:rPr>
        <w:t>El error de secuencia más caro es escribir los principios antes de conocer los episodios.</w:t>
      </w:r>
      <w:r>
        <w:t xml:space="preserve"> Un principio que no nace de un hecho de la organización se escribe en abstracto y no le prohíbe nada a nadie. Por eso el taller de la sesión parte de un episodio real y de él saca las tres cosas: el principio que lo habría evitado (F-23), la pregunta de revisión que lo detecta (F-24) y la silla del ARB que debía decidirlo (F-22).</w:t>
      </w:r>
    </w:p>
    <w:p>
      <w:r>
        <w:t>Qué formato alimenta cada criterio de la rúbrica de la 3.2: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453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13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Puntos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Formatos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9"/>
              </w:rPr>
              <w:t>Estructura del ARB y principios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1,5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F-22, F-23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9"/>
              </w:rPr>
              <w:t>Proceso de cumplimiento arquitectónico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1,5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F-24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9"/>
              </w:rPr>
              <w:t>Métricas y gestión de riesgos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1,25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F-26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9"/>
              </w:rPr>
              <w:t>Articulación COBIT 2019 / ITIL 4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9"/>
              </w:rPr>
              <w:t>0,75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F-25</w:t>
            </w:r>
          </w:p>
        </w:tc>
      </w:tr>
    </w:tbl>
    <w:p>
      <w:pPr>
        <w:spacing w:after="40"/>
      </w:pPr>
    </w:p>
    <w:p>
      <w:r>
        <w:rPr>
          <w:b/>
        </w:rPr>
        <w:t>Qué se entrega en la 3.2:</w:t>
      </w:r>
      <w:r>
        <w:t xml:space="preserve"> trabajo grupal de 3 a 4 integrantes (20 % de la nota, 20 horas): un documento de gobierno arquitectónico en PDF, de </w:t>
      </w:r>
      <w:r>
        <w:rPr>
          <w:b/>
        </w:rPr>
        <w:t>máximo 15 páginas</w:t>
      </w:r>
      <w:r>
        <w:t>, en norma APA 7.</w:t>
      </w:r>
    </w:p>
    <w:p>
      <w:r>
        <w:br w:type="page"/>
      </w:r>
    </w:p>
    <w:p>
      <w:pPr>
        <w:pStyle w:val="Heading1"/>
      </w:pPr>
      <w:r>
        <w:t>F-21 · Comparativos de gobierno (Actividad 3.1)</w:t>
      </w:r>
    </w:p>
    <w:p>
      <w:r>
        <w:rPr>
          <w:b/>
        </w:rPr>
        <w:t>Se llena en:</w:t>
      </w:r>
      <w:r>
        <w:t xml:space="preserve"> antes de la Sesión 3 y durante la semana siguiente · </w:t>
      </w:r>
      <w:r>
        <w:rPr>
          <w:b/>
        </w:rPr>
        <w:t>Individual</w:t>
      </w:r>
      <w:r>
        <w:t xml:space="preserve"> · </w:t>
      </w:r>
      <w:r>
        <w:rPr>
          <w:b/>
        </w:rPr>
        <w:t>Entregable:</w:t>
      </w:r>
      <w:r>
        <w:t xml:space="preserve"> dos análisis comparativos de una página cada uno. Formativa, sin calificación.</w:t>
      </w:r>
    </w:p>
    <w:p>
      <w:r>
        <w:t>La Actividad 3.1 pide dos comparativos. Este formato es su esqueleto: llenen las filas y cada comparativo queda escrito en una página.</w:t>
      </w:r>
    </w:p>
    <w:p>
      <w:pPr>
        <w:pStyle w:val="Heading2"/>
      </w:pPr>
      <w:r>
        <w:t>Parte A · COBIT 2019 frente a TOGAF en el gobierno de la arquitectura</w:t>
      </w:r>
    </w:p>
    <w:p>
      <w:r>
        <w:rPr>
          <w:b/>
        </w:rPr>
        <w:t>Lo que invalida la parte A:</w:t>
      </w:r>
      <w:r>
        <w:t xml:space="preserve"> que sea un resumen de cada marco por separado. Un comparativo dice dónde se tocan y dónde difieren, fila por fila.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15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Dimensión</w:t>
            </w:r>
          </w:p>
        </w:tc>
        <w:tc>
          <w:tcPr>
            <w:tcW w:type="dxa" w:w="351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COBIT 2019 (APO03 y lo que lo rodea)</w:t>
            </w:r>
          </w:p>
        </w:tc>
        <w:tc>
          <w:tcPr>
            <w:tcW w:type="dxa" w:w="351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TOGAF 10 (gobierno de la arquitectura)</w:t>
            </w:r>
          </w:p>
        </w:tc>
      </w:tr>
      <w:tr>
        <w:trPr>
          <w:trHeight w:val="454"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Pregunta que responde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Alcance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Dónde vive la arquitectura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Órgano que decide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Cómo mide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Mecanismo de control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Punto de articulación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9"/>
              </w:rPr>
              <w:t>Diferencia principal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578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Contenido</w:t>
            </w:r>
          </w:p>
        </w:tc>
      </w:tr>
      <w:tr>
        <w:trPr>
          <w:trHeight w:val="454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En una frase: cómo se complementan en su organización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Qué práctica de APO03 ejecutaría el ARB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Parte B · Normativa colombiana y MinTIC</w:t>
      </w:r>
    </w:p>
    <w:p>
      <w:r>
        <w:rPr>
          <w:b/>
        </w:rPr>
        <w:t>Lo que invalida la parte B:</w:t>
      </w:r>
      <w:r>
        <w:t xml:space="preserve"> listar normas sin decir si obligan a su organización. Una IPS privada no es sujeto obligado del Marco de Referencia de Arquitectura Empresarial del MinTIC; una ESE sí. Esa diferencia es el centro del comparativo.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Norma o marco</w:t>
            </w:r>
          </w:p>
        </w:tc>
        <w:tc>
          <w:tcPr>
            <w:tcW w:type="dxa" w:w="113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Entidad</w:t>
            </w:r>
          </w:p>
        </w:tc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establece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¿Obliga a su organización? ¿Por qué?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principio o control de su gobierno sustenta</w:t>
            </w:r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396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521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Contenido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Naturaleza de su organización (pública, privada, mixta, particular con funciones públicas)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Qué toma del MRAE aunque no la obligue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Qué norma sectorial pesa más en su gobierno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F-22 · Diseño del Architecture Review Board</w:t>
      </w:r>
    </w:p>
    <w:p>
      <w:r>
        <w:rPr>
          <w:b/>
        </w:rPr>
        <w:t>Se llena en:</w:t>
      </w:r>
      <w:r>
        <w:t xml:space="preserve"> el taller de la Sesión 3 (las sillas) y fuera de clase · </w:t>
      </w:r>
      <w:r>
        <w:rPr>
          <w:b/>
        </w:rPr>
        <w:t>Alimenta:</w:t>
      </w:r>
      <w:r>
        <w:t xml:space="preserve"> Estructura del ARB y principios (1,5) · </w:t>
      </w:r>
      <w:r>
        <w:rPr>
          <w:b/>
        </w:rPr>
        <w:t>Va al documento en:</w:t>
      </w:r>
      <w:r>
        <w:t xml:space="preserve"> sección 2</w:t>
      </w:r>
    </w:p>
    <w:p>
      <w:r>
        <w:t>TOGAF sugiere un ARB de cuatro o cinco miembros permanentes y nunca más de diez. La rúbrica pide al menos cuatro roles con responsabilidades, frecuencia y proceso de decisión.</w:t>
      </w:r>
    </w:p>
    <w:p>
      <w:r>
        <w:rPr>
          <w:b/>
        </w:rPr>
        <w:t>La prueba del ARB, en una pregunta:</w:t>
      </w:r>
      <w:r>
        <w:t xml:space="preserve"> ¿quién ocupa cada silla, con nombre de cargo, y de dónde salen sus horas? Si la respuesta es «contrataremos», el ARB no existe: su organización no va a crecer para gobernarse.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va aquí</w:t>
            </w:r>
          </w:p>
        </w:tc>
        <w:tc>
          <w:tcPr>
            <w:tcW w:type="dxa" w:w="374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Contenido</w:t>
            </w:r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Nombre del órgano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Un nombre propio de la organización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Mandato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Qué decide y qué no. Cómo se relaciona con el comité que decide inversión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Quién le da la autoridad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El órgano de gobierno que lo crea (EDM01 de COBIT)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Quién lo ocupa (cargo real)</w:t>
            </w:r>
          </w:p>
        </w:tc>
        <w:tc>
          <w:tcPr>
            <w:tcW w:type="dxa" w:w="317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Responsabilidades</w:t>
            </w:r>
          </w:p>
        </w:tc>
        <w:tc>
          <w:tcPr>
            <w:tcW w:type="dxa" w:w="124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Voto</w:t>
            </w:r>
          </w:p>
        </w:tc>
        <w:tc>
          <w:tcPr>
            <w:tcW w:type="dxa" w:w="113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Horas al mes</w:t>
            </w:r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  <w:tc>
          <w:tcPr>
            <w:tcW w:type="dxa" w:w="124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  <w:tc>
          <w:tcPr>
            <w:tcW w:type="dxa" w:w="124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  <w:tc>
          <w:tcPr>
            <w:tcW w:type="dxa" w:w="124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  <w:tc>
          <w:tcPr>
            <w:tcW w:type="dxa" w:w="124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  <w:tc>
          <w:tcPr>
            <w:tcW w:type="dxa" w:w="124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3175"/>
          </w:tcPr>
          <w:p>
            <w:pPr>
              <w:spacing w:after="20"/>
            </w:pPr>
            <w:r/>
          </w:p>
        </w:tc>
        <w:tc>
          <w:tcPr>
            <w:tcW w:type="dxa" w:w="124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va aquí</w:t>
            </w:r>
          </w:p>
        </w:tc>
        <w:tc>
          <w:tcPr>
            <w:tcW w:type="dxa" w:w="374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Contenido</w:t>
            </w:r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Frecuencia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Ordinaria y extraordinaria. ¿Qué pasa si el negocio no puede esperar?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Quórum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Cuántos y quiénes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Regla de decisión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Consenso, mayoría, desempate, veto. Sobre qué aplica el veto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Escalamiento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Ante quién y en qué plazo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Qué produce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El documento que sale de cada sesión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Dimensionado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Horas totales al mes ÷ capacidad del área = %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Lo que invalida la ficha:</w:t>
      </w:r>
      <w:r>
        <w:t xml:space="preserve"> roles sin cargo real, o un ARB cuyo costo en horas no se calculó.</w:t>
      </w:r>
    </w:p>
    <w:p>
      <w:r>
        <w:br w:type="page"/>
      </w:r>
    </w:p>
    <w:p>
      <w:pPr>
        <w:pStyle w:val="Heading1"/>
      </w:pPr>
      <w:r>
        <w:t>F-23 · Catálogo de principios arquitectónicos</w:t>
      </w:r>
    </w:p>
    <w:p>
      <w:r>
        <w:rPr>
          <w:b/>
        </w:rPr>
        <w:t>Se llena en:</w:t>
      </w:r>
      <w:r>
        <w:t xml:space="preserve"> el taller de la Sesión 3 (uno o dos) y fuera de clase · </w:t>
      </w:r>
      <w:r>
        <w:rPr>
          <w:b/>
        </w:rPr>
        <w:t>Alimenta:</w:t>
      </w:r>
      <w:r>
        <w:t xml:space="preserve"> Estructura del ARB y principios (1,5) · </w:t>
      </w:r>
      <w:r>
        <w:rPr>
          <w:b/>
        </w:rPr>
        <w:t>Va al documento en:</w:t>
      </w:r>
      <w:r>
        <w:t xml:space="preserve"> sección 3</w:t>
      </w:r>
    </w:p>
    <w:p>
      <w:r>
        <w:t>Al menos ocho principios, con el formato de TOGAF: nombre, enunciado, motivación e implicaciones. Los cinco principios de la Unidad 1 son el punto de partida: revísenlos, no los copien.</w:t>
      </w:r>
    </w:p>
    <w:p>
      <w:r>
        <w:rPr>
          <w:b/>
        </w:rPr>
        <w:t>La prueba del principio, en una pregunta:</w:t>
      </w:r>
      <w:r>
        <w:t xml:space="preserve"> ¿alguien razonable en la organización estaría en desacuerdo? Si nadie lo estaría —«la información es un activo»—, el principio no restringe ninguna decisión.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va aquí</w:t>
            </w:r>
          </w:p>
        </w:tc>
        <w:tc>
          <w:tcPr>
            <w:tcW w:type="dxa" w:w="374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Contenido</w:t>
            </w:r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Nombre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Corto y memorable; se cita en los dictámenes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Enunciado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La regla, en una o dos frases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Motivación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El hecho, la cifra o el episodio de su organización que lo origina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Implicaciones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Qué cambia en proyectos, compras y diseño. Qué cuesta cumplirlo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¿Admite excepción?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Sí, con vencimiento, o no negociable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Pregunta de la lista de revisión que lo verifica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Se usa en el F-24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56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215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Enunciado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Motivación (hecho del caso)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Implicaciones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¿Excepción?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P3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P4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P5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P6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P7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8"/>
              </w:rPr>
              <w:t>P8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907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Lo que invalida el catálogo:</w:t>
      </w:r>
      <w:r>
        <w:t xml:space="preserve"> motivaciones genéricas, sin hechos del caso, o implicaciones que no cambian ninguna decisión.</w:t>
      </w:r>
    </w:p>
    <w:p>
      <w:r>
        <w:br w:type="page"/>
      </w:r>
    </w:p>
    <w:p>
      <w:pPr>
        <w:pStyle w:val="Heading1"/>
      </w:pPr>
      <w:r>
        <w:t>F-24 · Revisión de cumplimiento y ruta de excepción</w:t>
      </w:r>
    </w:p>
    <w:p>
      <w:r>
        <w:rPr>
          <w:b/>
        </w:rPr>
        <w:t>Se llena en:</w:t>
      </w:r>
      <w:r>
        <w:t xml:space="preserve"> el taller de la Sesión 3 (un episodio) y fuera de clase · </w:t>
      </w:r>
      <w:r>
        <w:rPr>
          <w:b/>
        </w:rPr>
        <w:t>Alimenta:</w:t>
      </w:r>
      <w:r>
        <w:t xml:space="preserve"> Proceso de cumplimiento arquitectónico (1,5) · </w:t>
      </w:r>
      <w:r>
        <w:rPr>
          <w:b/>
        </w:rPr>
        <w:t>Va al documento en:</w:t>
      </w:r>
      <w:r>
        <w:t xml:space="preserve"> sección 4</w:t>
      </w:r>
    </w:p>
    <w:p>
      <w:r>
        <w:t>La rúbrica pide tipos de proyecto, lista de revisión y gestión de conformidades y excepciones. Sin gestión de excepciones no hay nota máxima.</w:t>
      </w:r>
    </w:p>
    <w:p>
      <w:pPr>
        <w:pStyle w:val="Heading3"/>
      </w:pPr>
      <w:r>
        <w:t>Tipos de iniciativa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68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Criterio de clasificación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Profundidad de la revisión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Momentos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Tiempo de respuesta</w:t>
            </w:r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B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Lista de revisión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68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n.º</w:t>
            </w:r>
          </w:p>
        </w:tc>
        <w:tc>
          <w:tcPr>
            <w:tcW w:type="dxa" w:w="623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Pregunta</w:t>
            </w:r>
          </w:p>
        </w:tc>
        <w:tc>
          <w:tcPr>
            <w:tcW w:type="dxa" w:w="226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Principio que verifica</w:t>
            </w:r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Dictámenes y niveles de conformidad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Dictamen</w:t>
            </w:r>
          </w:p>
        </w:tc>
        <w:tc>
          <w:tcPr>
            <w:tcW w:type="dxa" w:w="294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Nivel de TOGAF que le corresponde</w:t>
            </w:r>
          </w:p>
        </w:tc>
        <w:tc>
          <w:tcPr>
            <w:tcW w:type="dxa" w:w="385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Consecuencia para el proyecto</w:t>
            </w:r>
          </w:p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Conforme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Conforme con condiciones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Excepción con vencimiento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No conforme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Ruta de excepción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396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 del registro de excepciones</w:t>
            </w:r>
          </w:p>
        </w:tc>
        <w:tc>
          <w:tcPr>
            <w:tcW w:type="dxa" w:w="521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Contenido</w:t>
            </w:r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Principio del que se desvía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Por qué no se puede cumplir ahora (el hecho, no la preferencia)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Riesgo que se acepta y quién lo acepta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Costo de no aceptar la excepción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Plan de retorno: qué se hace para volver a cumplir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Vencimiento (máximo 6 meses; renovable una sola vez)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Dueño de la excepción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Partida de deuda que abre en el F-18, si deja deuda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t>Prueba del proceso con un episodio real de su organización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60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328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Episodio 1</w:t>
            </w:r>
          </w:p>
        </w:tc>
        <w:tc>
          <w:tcPr>
            <w:tcW w:type="dxa" w:w="328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Episodio 2</w:t>
            </w:r>
          </w:p>
        </w:tc>
      </w:tr>
      <w:tr>
        <w:trPr>
          <w:trHeight w:val="454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Qué pasó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Tipo y por qué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Momento en que se habría detectado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Preguntas de la lista que fallan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Dictamen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Condiciones, vencimiento o motivo del rechazo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  <w:tc>
          <w:tcPr>
            <w:tcW w:type="dxa" w:w="328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Lo que invalida el formato:</w:t>
      </w:r>
      <w:r>
        <w:t xml:space="preserve"> una excepción sin vencimiento. Una excepción sin fecha es una norma nueva que nadie aprobó.</w:t>
      </w:r>
    </w:p>
    <w:p>
      <w:r>
        <w:br w:type="page"/>
      </w:r>
    </w:p>
    <w:p>
      <w:pPr>
        <w:pStyle w:val="Heading1"/>
      </w:pPr>
      <w:r>
        <w:t>F-25 · Articulación con COBIT 2019 e ITIL 4</w:t>
      </w:r>
    </w:p>
    <w:p>
      <w:r>
        <w:rPr>
          <w:b/>
        </w:rPr>
        <w:t>Se llena en:</w:t>
      </w:r>
      <w:r>
        <w:t xml:space="preserve"> fuera de clase · </w:t>
      </w:r>
      <w:r>
        <w:rPr>
          <w:b/>
        </w:rPr>
        <w:t>Alimenta:</w:t>
      </w:r>
      <w:r>
        <w:t xml:space="preserve"> Articulación COBIT 2019 / ITIL 4 (0,75) · </w:t>
      </w:r>
      <w:r>
        <w:rPr>
          <w:b/>
        </w:rPr>
        <w:t>Va al documento en:</w:t>
      </w:r>
      <w:r>
        <w:t xml:space="preserve"> sección 5</w:t>
      </w:r>
    </w:p>
    <w:p>
      <w:r>
        <w:t xml:space="preserve">Al menos dos objetivos </w:t>
      </w:r>
      <w:r>
        <w:rPr>
          <w:b/>
        </w:rPr>
        <w:t>de gestión</w:t>
      </w:r>
      <w:r>
        <w:t xml:space="preserve"> de COBIT 2019, obligatoriamente APO03. Los objetivos de gestión son los de los dominios APO, BAI, DSS y MEA; los de EDM son de gobierno y no cuentan como el segundo.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36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Objetivo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parte de su sistema lo opera</w:t>
            </w:r>
          </w:p>
        </w:tc>
        <w:tc>
          <w:tcPr>
            <w:tcW w:type="dxa" w:w="226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Nivel actual (0-5) y por qué</w:t>
            </w:r>
          </w:p>
        </w:tc>
        <w:tc>
          <w:tcPr>
            <w:tcW w:type="dxa" w:w="215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Nivel objetivo y plazo</w:t>
            </w:r>
          </w:p>
        </w:tc>
      </w:tr>
      <w:tr>
        <w:trPr>
          <w:trHeight w:val="454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APO03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3402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361"/>
          </w:tcPr>
          <w:p>
            <w:pPr>
              <w:spacing w:after="20"/>
            </w:pPr>
            <w:r/>
          </w:p>
        </w:tc>
        <w:tc>
          <w:tcPr>
            <w:tcW w:type="dxa" w:w="3402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85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Nivel</w:t>
            </w:r>
          </w:p>
        </w:tc>
        <w:tc>
          <w:tcPr>
            <w:tcW w:type="dxa" w:w="833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significa en COBIT 2019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8334"/>
          </w:tcPr>
          <w:p>
            <w:pPr>
              <w:spacing w:after="20"/>
            </w:pPr>
            <w:r/>
            <w:r>
              <w:rPr>
                <w:sz w:val="18"/>
              </w:rPr>
              <w:t>Sin capacidad o capacidad incompleta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334"/>
          </w:tcPr>
          <w:p>
            <w:pPr>
              <w:spacing w:after="20"/>
            </w:pPr>
            <w:r/>
            <w:r>
              <w:rPr>
                <w:sz w:val="18"/>
              </w:rPr>
              <w:t>El proceso logra más o menos su propósito con actividades incompletas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334"/>
          </w:tcPr>
          <w:p>
            <w:pPr>
              <w:spacing w:after="20"/>
            </w:pPr>
            <w:r/>
            <w:r>
              <w:rPr>
                <w:sz w:val="18"/>
              </w:rPr>
              <w:t>El proceso logra su propósito con un conjunto básico y completo de actividades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8334"/>
          </w:tcPr>
          <w:p>
            <w:pPr>
              <w:spacing w:after="20"/>
            </w:pPr>
            <w:r/>
            <w:r>
              <w:rPr>
                <w:sz w:val="18"/>
              </w:rPr>
              <w:t>El proceso logra su propósito de forma organizada, con activos organizacionales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8334"/>
          </w:tcPr>
          <w:p>
            <w:pPr>
              <w:spacing w:after="20"/>
            </w:pPr>
            <w:r/>
            <w:r>
              <w:rPr>
                <w:sz w:val="18"/>
              </w:rPr>
              <w:t>El proceso logra su propósito, está bien definido y su desempeño se mide cuantitativamente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8334"/>
          </w:tcPr>
          <w:p>
            <w:pPr>
              <w:spacing w:after="20"/>
            </w:pPr>
            <w:r/>
            <w:r>
              <w:rPr>
                <w:sz w:val="18"/>
              </w:rPr>
              <w:t>El proceso logra su propósito, está bien definido, se mide y se mejora continuamente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294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Práctica de ITIL 4</w:t>
            </w:r>
          </w:p>
        </w:tc>
        <w:tc>
          <w:tcPr>
            <w:tcW w:type="dxa" w:w="623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Cómo se conecta con su sistema de gobierno</w:t>
            </w:r>
          </w:p>
        </w:tc>
      </w:tr>
      <w:tr>
        <w:trPr>
          <w:trHeight w:val="454"/>
        </w:trPr>
        <w:tc>
          <w:tcPr>
            <w:tcW w:type="dxa" w:w="2948"/>
          </w:tcPr>
          <w:p>
            <w:pPr>
              <w:spacing w:after="20"/>
            </w:pPr>
            <w:r/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948"/>
          </w:tcPr>
          <w:p>
            <w:pPr>
              <w:spacing w:after="20"/>
            </w:pPr>
            <w:r/>
          </w:p>
        </w:tc>
        <w:tc>
          <w:tcPr>
            <w:tcW w:type="dxa" w:w="623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Lo que invalida el formato:</w:t>
      </w:r>
      <w:r>
        <w:t xml:space="preserve"> declarar un nivel objetivo sin plazo ni justificación, o proponer nivel 4 o 5 en el primer año para una organización que hoy no tiene proceso.</w:t>
      </w:r>
    </w:p>
    <w:p>
      <w:r>
        <w:br w:type="page"/>
      </w:r>
    </w:p>
    <w:p>
      <w:pPr>
        <w:pStyle w:val="Heading1"/>
      </w:pPr>
      <w:r>
        <w:t>F-26 · Métricas de cumplimiento y riesgos arquitectónicos</w:t>
      </w:r>
    </w:p>
    <w:p>
      <w:r>
        <w:rPr>
          <w:b/>
        </w:rPr>
        <w:t>Se llena en:</w:t>
      </w:r>
      <w:r>
        <w:t xml:space="preserve"> fuera de clase · </w:t>
      </w:r>
      <w:r>
        <w:rPr>
          <w:b/>
        </w:rPr>
        <w:t>Alimenta:</w:t>
      </w:r>
      <w:r>
        <w:t xml:space="preserve"> Métricas y gestión de riesgos (1,25) · </w:t>
      </w:r>
      <w:r>
        <w:rPr>
          <w:b/>
        </w:rPr>
        <w:t>Va al documento en:</w:t>
      </w:r>
      <w:r>
        <w:t xml:space="preserve"> secciones 6 y 7</w:t>
      </w:r>
    </w:p>
    <w:p>
      <w:pPr>
        <w:pStyle w:val="Heading3"/>
      </w:pPr>
      <w:r>
        <w:t>Cinco métricas</w:t>
      </w:r>
    </w:p>
    <w:p>
      <w:r>
        <w:rPr>
          <w:b/>
        </w:rPr>
        <w:t>Lo que invalida una métrica:</w:t>
      </w:r>
      <w:r>
        <w:t xml:space="preserve"> que no tenga fórmula o no tenga umbral. Sin fórmula no se puede calcular; sin umbral no avisa de nada.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351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va aquí</w:t>
            </w:r>
          </w:p>
        </w:tc>
        <w:tc>
          <w:tcPr>
            <w:tcW w:type="dxa" w:w="385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M1</w:t>
            </w:r>
          </w:p>
        </w:tc>
      </w:tr>
      <w:tr>
        <w:trPr>
          <w:trHeight w:val="454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Nombre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Definición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Qué mide, en una frase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Fórmula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Numerador ÷ denominador, con unidades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Fuente de datos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Un sistema o registro que existe hoy; si no existe, supuesto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Frecuencia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Mensual, trimestral…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Línea base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El valor de hoy (recomendado)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Umbral de alerta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9"/>
              </w:rPr>
              <w:t>El valor que dispara una acción, y cuál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474"/>
            <w:shd w:val="clear" w:color="auto" w:fill="DCE6F2"/>
          </w:tcPr>
          <w:p>
            <w:pPr>
              <w:spacing w:after="20"/>
            </w:pPr>
            <w:r/>
          </w:p>
        </w:tc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M2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M3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M4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M5</w:t>
            </w:r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Nombre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Definición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Fórmula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Fuente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Frecuencia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Línea base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8"/>
              </w:rPr>
              <w:t>Umbral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t>Consejo: incluyan una métrica que mida al propio ARB (por ejemplo, el tiempo de dictamen). Si el gobierno es lento, los equipos lo evitan, y sin esa métrica nadie se entera.</w:t>
      </w:r>
    </w:p>
    <w:p>
      <w:pPr>
        <w:pStyle w:val="Heading3"/>
      </w:pPr>
      <w:r>
        <w:t>Tres riesgos arquitectónicos</w:t>
      </w:r>
    </w:p>
    <w:p>
      <w:r>
        <w:rPr>
          <w:b/>
        </w:rPr>
        <w:t>Lo que invalida un riesgo:</w:t>
      </w:r>
      <w:r>
        <w:t xml:space="preserve"> controles que nadie puede verificar. «Sensibilizar a los equipos» no es un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43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R1</w:t>
            </w:r>
          </w:p>
        </w:tc>
        <w:tc>
          <w:tcPr>
            <w:tcW w:type="dxa" w:w="243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R2</w:t>
            </w:r>
          </w:p>
        </w:tc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R3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Riesgo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Causa (hecho del caso)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Consecuencia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Probabilidad (1-5)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Impacto (1-5)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Controles concretos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Métrica o pregunta que lo vigila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Dueño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438"/>
          </w:tcPr>
          <w:p>
            <w:pPr>
              <w:spacing w:after="20"/>
            </w:pPr>
            <w:r/>
          </w:p>
        </w:tc>
        <w:tc>
          <w:tcPr>
            <w:tcW w:type="dxa" w:w="238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F-27 · Rúbrica formativa de la Actividad 3.1</w:t>
      </w:r>
    </w:p>
    <w:p>
      <w:r>
        <w:t>Uso del docente. Sin nota: la 3.1 es formativa y la retroalimentación es oral.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4309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Descriptor observable</w:t>
            </w:r>
          </w:p>
        </w:tc>
        <w:tc>
          <w:tcPr>
            <w:tcW w:type="dxa" w:w="102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Se cumple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Observación</w:t>
            </w:r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Comparación, no resumen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El comparativo COBIT–TOGAF contrasta fila por fila; no describe cada marco por separado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APO03 ubicado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Identifica APO03 y al menos una de sus prácticas como el punto que ejecuta el ARB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Gobierno frente a gestión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Distingue objetivos de gobierno (EDM) de objetivos de gestión (APO, BAI, DSS, MEA)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Obligatoriedad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El comparativo normativo dice qué obliga a su organización y qué es solo referencia, y por qué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Norma sectorial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Identifica la normativa sectorial vigente que pesa sobre su organización, con fuente verificable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APA 7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8"/>
              </w:rPr>
              <w:t>Cita las fuentes en APA 7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578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Contenido</w:t>
            </w:r>
          </w:p>
        </w:tc>
      </w:tr>
      <w:tr>
        <w:trPr>
          <w:trHeight w:val="454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Lo que está bien resuelto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Lo que hay que corregir antes de la 3.2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Riesgo principal si no lo corrigen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F-28 · Lista de verificación previa a la Actividad 3.2</w:t>
      </w:r>
    </w:p>
    <w:p>
      <w:r>
        <w:t>Se usa antes de entregar, no después de que lo califiquen.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635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Condición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Dónde se comprueba</w:t>
            </w:r>
          </w:p>
        </w:tc>
        <w:tc>
          <w:tcPr>
            <w:tcW w:type="dxa" w:w="79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✓</w:t>
            </w:r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El ARB tiene nombre, mandato y al menos 4 roles con responsabilidades y cargo real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El ARB tiene frecuencia, quórum, regla de decisión y escalamiento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El costo del ARB en horas está calculado contra la capacidad real del área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F-22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Hay al menos 8 principios con nombre, enunciado, motivación e implicaciones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F-23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Cada motivación cita un hecho, una cifra o un episodio de la organización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F-23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El proceso distingue tipos de iniciativa con criterios verificables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La lista de revisión tiene cada pregunta atada a un principio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Hay ruta de excepción con vencimiento, dueño y plan de retorno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El proceso está probado con al menos un episodio real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F-24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APO03 y al menos otro objetivo de gestión, con nivel actual, objetivo y plazo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Se menciona al menos una práctica de ITIL 4 y cómo se conecta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F-25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Cinco métricas, cada una con nombre, definición, fórmula, fuente, frecuencia y umbral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F-26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Tres riesgos, cada uno con controles concretos y dueño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F-26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6350"/>
          </w:tcPr>
          <w:p>
            <w:pPr>
              <w:spacing w:after="20"/>
            </w:pPr>
            <w:r/>
            <w:r>
              <w:rPr>
                <w:sz w:val="19"/>
              </w:rPr>
              <w:t>Documento ≤ 15 páginas, en APA 7, con secciones claramente delimitadas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Documento completo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9185"/>
            <w:gridSpan w:val="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Datos del grupo</w:t>
            </w:r>
          </w:p>
        </w:tc>
      </w:tr>
      <w:tr>
        <w:trPr>
          <w:trHeight w:val="454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Integrantes (3 a 4)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Organización caso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Fecha de entrega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0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345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34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