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0"/>
        </w:rPr>
        <w:t>El taller de la Sesión 3: enunciado</w:t>
      </w:r>
    </w:p>
    <w:p>
      <w:r>
        <w:rPr>
          <w:color w:val="345A8A"/>
          <w:sz w:val="25"/>
        </w:rPr>
        <w:t>Un episodio de su organización, tres formatos: el principio, la pregunta de revisión y las sillas del ARB</w:t>
      </w:r>
    </w:p>
    <w:p>
      <w:pPr>
        <w:spacing w:after="20"/>
      </w:pPr>
      <w:r>
        <w:rPr>
          <w:color w:val="55606E"/>
          <w:sz w:val="20"/>
        </w:rPr>
        <w:t>Curso Arquitectura Empresarial · Maestría en Ingeniería de Software · Universidad de La Sabana</w:t>
      </w:r>
    </w:p>
    <w:p>
      <w:pPr>
        <w:spacing w:after="20"/>
      </w:pPr>
      <w:r>
        <w:rPr>
          <w:color w:val="55606E"/>
          <w:sz w:val="20"/>
        </w:rPr>
        <w:t>Unidad 3 — Gobierno y Gobernanza de Arquitectura Empresarial</w:t>
      </w:r>
    </w:p>
    <w:p>
      <w:pPr>
        <w:spacing w:after="20"/>
      </w:pPr>
      <w:r>
        <w:rPr>
          <w:color w:val="55606E"/>
          <w:sz w:val="20"/>
        </w:rPr>
        <w:t>Marco de referencia: TOGAF® Standard, 10th Edition · COBIT® 2019 · ITIL® 4</w:t>
      </w:r>
    </w:p>
    <w:p>
      <w:pPr>
        <w:spacing w:after="20"/>
      </w:pPr>
      <w:r>
        <w:rPr>
          <w:color w:val="55606E"/>
          <w:sz w:val="20"/>
        </w:rPr>
        <w:t>Septiembre de 2026</w:t>
      </w:r>
    </w:p>
    <w:p/>
    <w:p>
      <w:pPr>
        <w:pStyle w:val="Heading1"/>
      </w:pPr>
      <w:r>
        <w:t>1. Qué es el taller</w:t>
      </w:r>
    </w:p>
    <w:p>
      <w:r>
        <w:t>Es el único momento de trabajo en salas de la sesión, en los grupos de la Actividad 3.2 (3 a 4 integrantes) y sobre su propio caso. Es el primer avance de la 3.2 que está en la plataforma, no un ejercicio aparte. El docente anuncia al empezar cuánto tiempo hay y lo pone en el cronómetro.</w:t>
      </w:r>
    </w:p>
    <w:p>
      <w:r>
        <w:rPr>
          <w:b/>
        </w:rPr>
        <w:t>La idea que lo organiza.</w:t>
      </w:r>
      <w:r>
        <w:t xml:space="preserve"> No se llenan tres formatos por separado. Se toma </w:t>
      </w:r>
      <w:r>
        <w:rPr>
          <w:b/>
        </w:rPr>
        <w:t>un episodio real</w:t>
      </w:r>
      <w:r>
        <w:t xml:space="preserve"> de la organización —una decisión que hoy nadie gobernó— y de él salen tres cosas encadenadas: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38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De un episodio sale…</w:t>
            </w:r>
          </w:p>
        </w:tc>
        <w:tc>
          <w:tcPr>
            <w:tcW w:type="dxa" w:w="79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Formato</w:t>
            </w:r>
          </w:p>
        </w:tc>
        <w:tc>
          <w:tcPr>
            <w:tcW w:type="dxa" w:w="36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Pregunta que lo produce</w:t>
            </w:r>
          </w:p>
        </w:tc>
        <w:tc>
          <w:tcPr>
            <w:tcW w:type="dxa" w:w="238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Criterio de la rúbrica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El principio que lo habría evitado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F-23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9"/>
              </w:rPr>
              <w:t>¿Qué regla, escrita antes, habría hecho que alguien lo objetara?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ARB y principios · 1,5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La pregunta de revisión que lo detecta, y su dictamen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F-24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9"/>
              </w:rPr>
              <w:t>¿En qué momento se habría visto, y qué dictamen habría recibido?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Proceso de cumplimiento · 1,5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La silla del ARB que debía decidirlo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F-22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9"/>
              </w:rPr>
              <w:t>¿Quién tenía que estar en esa decisión, y de dónde salen sus horas?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ARB y principios · 1,5</w:t>
            </w:r>
          </w:p>
        </w:tc>
      </w:tr>
    </w:tbl>
    <w:p>
      <w:pPr>
        <w:spacing w:after="40"/>
      </w:pPr>
    </w:p>
    <w:p>
      <w:r>
        <w:t xml:space="preserve">Los tres formatos quedan </w:t>
      </w:r>
      <w:r>
        <w:rPr>
          <w:b/>
        </w:rPr>
        <w:t>encadenados por un hecho</w:t>
      </w:r>
      <w:r>
        <w:t>, que es justo lo que distingue un documento de gobierno real de uno copiado: los principios, la lista de revisión y el ARB se sostienen entre sí porque nacen del mismo episodio.</w:t>
      </w:r>
    </w:p>
    <w:p>
      <w:r>
        <w:rPr>
          <w:b/>
        </w:rPr>
        <w:t>Antes de entrar a la sala, tengan a mano:</w:t>
      </w:r>
      <w:r>
        <w:t xml:space="preserve"> el caso del grupo; los cinco principios de la Unidad 1 (F-09); el registro de deuda de la Unidad 2 (F-18), y los formatos en AREM_S3_Instrumentos.pdf. Si trabajan con Red Salud Andina, los episodios están en la sección 10 del dossier, las cifras en la 11 y las restricciones en la 13; tomen uno distinto de los tres que se recorren en clase.</w:t>
      </w:r>
    </w:p>
    <w:p>
      <w:pPr>
        <w:pStyle w:val="Heading1"/>
      </w:pPr>
      <w:r>
        <w:t>2. El taller, paso a paso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680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Paso</w:t>
            </w:r>
          </w:p>
        </w:tc>
        <w:tc>
          <w:tcPr>
            <w:tcW w:type="dxa" w:w="6236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Tarea</w:t>
            </w:r>
          </w:p>
        </w:tc>
        <w:tc>
          <w:tcPr>
            <w:tcW w:type="dxa" w:w="226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Produce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Elijan el episodio.</w:t>
            </w:r>
            <w:r>
              <w:rPr>
                <w:sz w:val="19"/>
              </w:rPr>
              <w:t xml:space="preserve"> Una decisión real que hoy nadie gobernó: una compra que duplicó una capacidad, una integración hecha de apuro, un sistema construido por fuera de TI, un proveedor elegido sin lineamiento. Escríbanlo en tres líneas: qué pasó, quién decidió y qué consecuencia dejó.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El hecho, por escrito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El principio (F-23).</w:t>
            </w:r>
            <w:r>
              <w:rPr>
                <w:sz w:val="19"/>
              </w:rPr>
              <w:t xml:space="preserve"> ¿Qué regla, escrita antes, lo habría evitado? Escríbanla con enunciado, motivación —el hecho, no la teoría— e implicaciones: qué cambia y qué cuesta cumplirla. Decidan si admite excepción o si es no negociable.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Un principio completo; dos si les sobra tiempo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La pregunta y el dictamen (F-24).</w:t>
            </w:r>
            <w:r>
              <w:rPr>
                <w:sz w:val="19"/>
              </w:rPr>
              <w:t xml:space="preserve"> Conviertan el principio en una pregunta de la lista de revisión. Clasifiquen la iniciativa (tipo A, B o C) con un criterio verificable, digan en qué momento se habría visto (R0, R1 o R2) y den el dictamen. Si es una excepción: vencimiento, dueño y plan de retorno.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Una pregunta, un dictamen y, si aplica, la excepción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Las sillas (F-22).</w:t>
            </w:r>
            <w:r>
              <w:rPr>
                <w:sz w:val="19"/>
              </w:rPr>
              <w:t xml:space="preserve"> ¿Quién tenía que estar en esa decisión? Denle a cada silla el cargo real que existe en su organización y las horas al mes que cuesta. Sumen y calculen el porcentaje de la capacidad del área.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El ARB con cuatro roles o más, y su costo en horas</w:t>
            </w:r>
          </w:p>
        </w:tc>
      </w:tr>
    </w:tbl>
    <w:p>
      <w:pPr>
        <w:spacing w:after="40"/>
      </w:pPr>
    </w:p>
    <w:p>
      <w:r>
        <w:rPr>
          <w:b/>
        </w:rPr>
        <w:t>Herramientas abiertas al lado.</w:t>
      </w:r>
      <w:r>
        <w:t xml:space="preserve"> </w:t>
      </w:r>
      <w:r>
        <w:rPr>
          <w:i/>
        </w:rPr>
        <w:t>Compliance Review</w:t>
      </w:r>
      <w:r>
        <w:t xml:space="preserve"> para el paso 3 —no deja registrar una excepción sin vencimiento— y </w:t>
      </w:r>
      <w:r>
        <w:rPr>
          <w:i/>
        </w:rPr>
        <w:t>Diseñador de ARB</w:t>
      </w:r>
      <w:r>
        <w:t xml:space="preserve"> para el paso 4, que calcula solo el porcentaje de la capacidad. Las dos tienen el botón «Empezar con el caso del grupo».</w:t>
      </w:r>
    </w:p>
    <w:p>
      <w:pPr>
        <w:pStyle w:val="Heading1"/>
      </w:pPr>
      <w:r>
        <w:t>3. El ejemplo resuelto, para tenerlo al lado</w:t>
      </w:r>
    </w:p>
    <w:p>
      <w:r>
        <w:t>Es el mismo recorrido que se hace en clase con Red Salud Andina, con el episodio del laboratorio B2B.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4703"/>
        <w:gridCol w:w="4703"/>
      </w:tblGrid>
      <w:tr>
        <w:trPr>
          <w:tblHeader w:val="true"/>
        </w:trPr>
        <w:tc>
          <w:tcPr>
            <w:tcW w:type="dxa" w:w="170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Paso</w:t>
            </w:r>
          </w:p>
        </w:tc>
        <w:tc>
          <w:tcPr>
            <w:tcW w:type="dxa" w:w="7483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Resultado en el ejemplo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El episodio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sz w:val="19"/>
              </w:rPr>
              <w:t>PORTAL-B2B se integró consultando directamente la base de datos de LIS-LAB, porque la interfaz formal tomaba seis semanas y el primer cliente empezaba en tres. TI se enteró en 2024.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El principio (F-23)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Se integra por contrato, nunca por la base de datos.</w:t>
            </w:r>
            <w:r>
              <w:rPr>
                <w:sz w:val="19"/>
              </w:rPr>
              <w:t xml:space="preserve"> Toda integración entre sistemas usa una interfaz publicada y versionada (API o mensaje); se prohíbe leer o escribir la base de datos de otro sistema. Motivación: Un cambio de esquema en HIS-CORE dejó tres días sin facturar; PORTAL-B2B lee la base de LIS-LAB y bloquea su actualización.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La pregunta (F-24)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sz w:val="19"/>
              </w:rPr>
              <w:t>«¿Todas las integraciones usan una interfaz publicada y versionada? ¿Alguna lee la base de otro sistema?» → P3. Tipo A, porque integra con el LIS y entrega resultados clínicos a terceros. Momento R1, por vía rápida en 72 horas.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El dictamen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Excepción con vencimiento:</w:t>
            </w:r>
            <w:r>
              <w:rPr>
                <w:sz w:val="19"/>
              </w:rPr>
              <w:t xml:space="preserve"> 4 meses, solo lectura sobre una vista dedicada; plan de retorno a una API sobre el bus; dueño: la gerencia de laboratorio; abre la partida de deuda «Acceso directo a LIS-LAB».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Las sillas (F-22)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sz w:val="19"/>
              </w:rPr>
              <w:t>En esa decisión tenían que estar el arquitecto líder, el líder de infraestructura y seguridad, y la gerencia de laboratorio como invitada. El ARB completo cuesta 108 horas al mes: el 1,8 % de las 6.080 horas del área.</w:t>
            </w:r>
          </w:p>
        </w:tc>
      </w:tr>
    </w:tbl>
    <w:p>
      <w:pPr>
        <w:spacing w:after="40"/>
      </w:pPr>
    </w:p>
    <w:p>
      <w:pPr>
        <w:pStyle w:val="Heading1"/>
      </w:pPr>
      <w:r>
        <w:t>4. Los conceptos que van a usar</w:t>
      </w:r>
    </w:p>
    <w:p>
      <w:r>
        <w:t>Cada concepto tiene una forma de reconocerlo en el trabajo del grupo. Si no pueden aplicar esa prueba, el concepto todavía no está claro.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81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Concepto</w:t>
            </w:r>
          </w:p>
        </w:tc>
        <w:tc>
          <w:tcPr>
            <w:tcW w:type="dxa" w:w="3628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Qué es</w:t>
            </w:r>
          </w:p>
        </w:tc>
        <w:tc>
          <w:tcPr>
            <w:tcW w:type="dxa" w:w="374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Cómo se reconoce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Gobierno frente a gestión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El gobierno evalúa, dirige y supervisa; la gestión planea, construye, ejecuta y monitorea (ISACA, 2018).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El ARB gobierna: decide si algo es conforme. No diseña la solución del proyecto: eso es gestión.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Gobierno de inversión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Decidir qué proyectos se financian y en qué orden.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Es lo que hace hoy el comité de TI de Red Salud Andina. No evalúa el diseño.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Architecture Review Board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El órgano que revisa las iniciativas contra la arquitectura y los principios, y otorga o niega excepciones (The Open Group, 2022).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Tiene sillas con cargo real, mandato escrito, quórum y regla de decisión.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Dimensionado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El costo del ARB en horas-persona frente a la capacidad real del área.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Tiene una cifra. Si una silla depende de contratar a alguien, el ARB no existe.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Principio arquitectónico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Una regla duradera que orienta decisiones: nombre, enunciado, motivación e implicaciones.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Alguien razonable podría estar en desacuerdo con él, y su motivación es un hecho del caso.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Principio no negociable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Un principio que no admite excepción.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Pocos: uno o dos. Si todos son no negociables, ninguno lo es.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Revisión de cumplimiento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La verificación de que una iniciativa es conforme, en momentos definidos del proyecto.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Tiene momentos (R0 idea, R1 diseño, R2 producción) y una lista de revisión atada a los principios.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Tipo de iniciativa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La clasificación que decide la profundidad de la revisión.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Criterios verificables: «toca datos clínicos», no «es importante».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Nivel de conformidad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Los seis niveles de TOGAF: irrelevante, consistente, cumple, conforme, totalmente conforme, no conforme.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Se traducen a cuatro dictámenes para el proyecto.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Excepción (dispensa)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Una desviación aceptada de un principio, por un tiempo acotado.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Tiene vencimiento, dueño y plan de retorno. Sin vencimiento, la desviación se queda para siempre.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Vía rápida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sz w:val="18"/>
              </w:rPr>
              <w:t>Un dictamen en plazo corto cuando el plazo del negocio es real.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8"/>
              </w:rPr>
              <w:t>Existe para que nadie tenga que construir por fuera, como pasó con PORTAL-B2B.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3FA"/>
            <w:tcBorders>
              <w:top w:val="nil"/>
              <w:bottom w:val="nil"/>
              <w:right w:val="nil"/>
              <w:left w:val="single" w:sz="24" w:color="C2622C"/>
            </w:tcBorders>
          </w:tcPr>
          <w:p>
            <w:r>
              <w:rPr>
                <w:b/>
                <w:sz w:val="20"/>
              </w:rPr>
              <w:t>Si el tiempo aprieta.</w:t>
            </w:r>
            <w:r>
              <w:rPr>
                <w:sz w:val="20"/>
              </w:rPr>
              <w:t xml:space="preserve"> Los pasos 1 y 2 no se negocian: sin episodio y sin principio no hay de dónde sacar lo demás. El paso 3 puede quedar en la pregunta y el dictamen, sin la excepción. El paso 4 puede reducirse a nombrar las sillas, y el cálculo de horas se termina fuera de clase.</w:t>
            </w:r>
          </w:p>
        </w:tc>
      </w:tr>
    </w:tbl>
    <w:p>
      <w:pPr>
        <w:spacing w:after="40"/>
      </w:pPr>
    </w:p>
    <w:p>
      <w:pPr>
        <w:pStyle w:val="Heading1"/>
      </w:pPr>
      <w:r>
        <w:t>5. Qué invalida el trabajo del taller</w:t>
      </w:r>
    </w:p>
    <w:p>
      <w:pPr>
        <w:pStyle w:val="ListBullet"/>
        <w:spacing w:after="40"/>
      </w:pPr>
      <w:r>
        <w:rPr>
          <w:b/>
        </w:rPr>
        <w:t>Un episodio inventado o genérico.</w:t>
      </w:r>
      <w:r>
        <w:t xml:space="preserve"> Si no pueden decir quién decidió y qué consecuencia dejó, no es un episodio.</w:t>
      </w:r>
    </w:p>
    <w:p>
      <w:pPr>
        <w:pStyle w:val="ListBullet"/>
        <w:spacing w:after="40"/>
      </w:pPr>
      <w:r>
        <w:rPr>
          <w:b/>
        </w:rPr>
        <w:t>Un principio con el que nadie estaría en desacuerdo.</w:t>
      </w:r>
      <w:r>
        <w:t xml:space="preserve"> «La información es un activo» no restringe ninguna decisión.</w:t>
      </w:r>
    </w:p>
    <w:p>
      <w:pPr>
        <w:pStyle w:val="ListBullet"/>
        <w:spacing w:after="40"/>
      </w:pPr>
      <w:r>
        <w:rPr>
          <w:b/>
        </w:rPr>
        <w:t>Una motivación teórica.</w:t>
      </w:r>
      <w:r>
        <w:t xml:space="preserve"> La motivación es el hecho del caso, no una buena práctica de un libro.</w:t>
      </w:r>
    </w:p>
    <w:p>
      <w:pPr>
        <w:pStyle w:val="ListBullet"/>
        <w:spacing w:after="40"/>
      </w:pPr>
      <w:r>
        <w:rPr>
          <w:b/>
        </w:rPr>
        <w:t>Una pregunta de revisión suelta.</w:t>
      </w:r>
      <w:r>
        <w:t xml:space="preserve"> Si no está atada a un principio, mide algo que nadie decidió gobernar.</w:t>
      </w:r>
    </w:p>
    <w:p>
      <w:pPr>
        <w:pStyle w:val="ListBullet"/>
        <w:spacing w:after="40"/>
      </w:pPr>
      <w:r>
        <w:rPr>
          <w:b/>
        </w:rPr>
        <w:t>Una excepción sin vencimiento.</w:t>
      </w:r>
      <w:r>
        <w:t xml:space="preserve"> Es una norma nueva que nadie aprobó.</w:t>
      </w:r>
    </w:p>
    <w:p>
      <w:pPr>
        <w:pStyle w:val="ListBullet"/>
        <w:spacing w:after="40"/>
      </w:pPr>
      <w:r>
        <w:rPr>
          <w:b/>
        </w:rPr>
        <w:t>Una silla sin cargo real.</w:t>
      </w:r>
      <w:r>
        <w:t xml:space="preserve"> Un ARB que necesita contratar se queda en el papel.</w:t>
      </w:r>
    </w:p>
    <w:p>
      <w:pPr>
        <w:pStyle w:val="Heading1"/>
      </w:pPr>
      <w:r>
        <w:t>6. Qué sale de la sesión y qué falta</w:t>
      </w:r>
    </w:p>
    <w:p>
      <w:r>
        <w:t xml:space="preserve">Con el episodio recorrido tienen el esqueleto de las secciones 2, 3 y 4 del documento, que suman </w:t>
      </w:r>
      <w:r>
        <w:rPr>
          <w:b/>
        </w:rPr>
        <w:t>3,0 de los 5,0 puntos</w:t>
      </w:r>
      <w:r>
        <w:t>. Fuera de clase, en grupo, falta: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510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Qué falta</w:t>
            </w:r>
          </w:p>
        </w:tc>
        <w:tc>
          <w:tcPr>
            <w:tcW w:type="dxa" w:w="1247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Formato</w:t>
            </w:r>
          </w:p>
        </w:tc>
        <w:tc>
          <w:tcPr>
            <w:tcW w:type="dxa" w:w="283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Herramienta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9"/>
              </w:rPr>
              <w:t>Completar los ocho principios, repitiendo el recorrido con otros episodios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F-23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9"/>
              </w:rPr>
              <w:t>Completar el proceso: los tres tipos, la lista completa y la ruta de excepción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F-24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Compliance Review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9"/>
              </w:rPr>
              <w:t>Terminar el ARB: mandato, frecuencia, quórum, regla de decisión y escalamiento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F-22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Diseñador de ARB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9"/>
              </w:rPr>
              <w:t>APO03 y otro objetivo de gestión, con nivel actual, objetivo y plazo; una práctica de ITIL 4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F-25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Mapa COBIT · TOGAF · ITIL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9"/>
              </w:rPr>
              <w:t>Cinco métricas con fórmula y umbral, y tres riesgos con controles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F-26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Métricas y riesgos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9"/>
              </w:rPr>
              <w:t>Verificar antes de subir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9"/>
              </w:rPr>
              <w:t>F-28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t xml:space="preserve">Y, de forma </w:t>
      </w:r>
      <w:r>
        <w:rPr>
          <w:b/>
        </w:rPr>
        <w:t>individual</w:t>
      </w:r>
      <w:r>
        <w:t>, la Actividad 3.1: los dos comparativos de una página, con el F-21 y la guía de la Actividad 3.1.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606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" w:eastAsiaTheme="majorEastAsia" w:hAnsiTheme="majorHAnsi" w:cstheme="majorBidi" w:ascii="Calibri" w:hAnsi="Calibri"/>
      <w:b/>
      <w:bCs/>
      <w:color w:val="345A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" w:eastAsiaTheme="majorEastAsia" w:hAnsiTheme="majorHAnsi" w:cstheme="majorBidi" w:ascii="Calibri" w:hAnsi="Calibri"/>
      <w:b/>
      <w:bCs/>
      <w:color w:val="345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