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80"/>
      </w:pPr>
      <w:r>
        <w:rPr>
          <w:b/>
          <w:color w:val="1F3A5F"/>
          <w:sz w:val="40"/>
        </w:rPr>
        <w:t>Guía de la Actividad 3.1</w:t>
      </w:r>
    </w:p>
    <w:p>
      <w:r>
        <w:rPr>
          <w:color w:val="345A8A"/>
          <w:sz w:val="25"/>
        </w:rPr>
        <w:t>Los dos comparativos: COBIT 2019 frente a TOGAF, y la normativa colombiana</w:t>
      </w:r>
    </w:p>
    <w:p>
      <w:pPr>
        <w:spacing w:after="20"/>
      </w:pPr>
      <w:r>
        <w:rPr>
          <w:color w:val="55606E"/>
          <w:sz w:val="20"/>
        </w:rPr>
        <w:t>Curso Arquitectura Empresarial · Maestría en Ingeniería de Software · Universidad de La Sabana</w:t>
      </w:r>
    </w:p>
    <w:p>
      <w:pPr>
        <w:spacing w:after="20"/>
      </w:pPr>
      <w:r>
        <w:rPr>
          <w:color w:val="55606E"/>
          <w:sz w:val="20"/>
        </w:rPr>
        <w:t>Unidad 3 — Gobierno y Gobernanza de Arquitectura Empresarial</w:t>
      </w:r>
    </w:p>
    <w:p>
      <w:pPr>
        <w:spacing w:after="20"/>
      </w:pPr>
      <w:r>
        <w:rPr>
          <w:color w:val="55606E"/>
          <w:sz w:val="20"/>
        </w:rPr>
        <w:t>Septiembre de 2026</w:t>
      </w:r>
    </w:p>
    <w:p/>
    <w:p>
      <w:pPr>
        <w:pStyle w:val="Heading1"/>
      </w:pPr>
      <w:r>
        <w:t>1. Qué pide la actividad</w:t>
      </w:r>
    </w:p>
    <w:p>
      <w:r>
        <w:t>La Actividad 3.1 es individual y formativa: no tiene nota y la retroalimentación se da en la sesión sincrónica con el F-27. Pide dos análisis de una página cada uno:</w:t>
      </w:r>
    </w:p>
    <w:p>
      <w:pPr>
        <w:pStyle w:val="ListBullet"/>
        <w:spacing w:after="40"/>
      </w:pPr>
      <w:r>
        <w:rPr>
          <w:b/>
        </w:rPr>
        <w:t>Comparativo A.</w:t>
      </w:r>
      <w:r>
        <w:t xml:space="preserve"> El gobierno de TI según COBIT 2019 frente al gobierno arquitectónico según TOGAF, destacando puntos de articulación y diferencias.</w:t>
      </w:r>
    </w:p>
    <w:p>
      <w:pPr>
        <w:pStyle w:val="ListBullet"/>
        <w:spacing w:after="40"/>
      </w:pPr>
      <w:r>
        <w:rPr>
          <w:b/>
        </w:rPr>
        <w:t>Comparativo B.</w:t>
      </w:r>
      <w:r>
        <w:t xml:space="preserve"> El gobierno arquitectónico frente a la normativa nacional de Colombia y del Ministerio de las TIC.</w:t>
      </w:r>
    </w:p>
    <w:p>
      <w:r>
        <w:rPr>
          <w:b/>
        </w:rPr>
        <w:t>Qué leer, y qué no.</w:t>
      </w:r>
      <w:r>
        <w:t xml:space="preserve"> No es necesario leer los marcos completos. De COBIT 2019, el objetivo APO03 (</w:t>
      </w:r>
      <w:r>
        <w:rPr>
          <w:i/>
        </w:rPr>
        <w:t>Managed Enterprise Architecture</w:t>
      </w:r>
      <w:r>
        <w:t xml:space="preserve">) y la distinción entre objetivos de gobierno y de gestión (ISACA, 2018). De TOGAF 10, el documento </w:t>
      </w:r>
      <w:r>
        <w:rPr>
          <w:i/>
        </w:rPr>
        <w:t>Enterprise Architecture Capability and Governance</w:t>
      </w:r>
      <w:r>
        <w:t>: los capítulos del Architecture Board, de los contratos de arquitectura y del cumplimiento arquitectónico (The Open Group, 2022).</w:t>
      </w:r>
    </w:p>
    <w:tbl>
      <w:tblPr>
        <w:tblW w:type="auto" w:w="0"/>
        <w:tblLook w:firstColumn="1" w:firstRow="1" w:lastColumn="0" w:lastRow="0" w:noHBand="0" w:noVBand="1" w:val="04A0"/>
      </w:tblPr>
      <w:tblGrid>
        <w:gridCol w:w="9406"/>
      </w:tblGrid>
      <w:tr>
        <w:tc>
          <w:tcPr>
            <w:tcW w:type="dxa" w:w="9406"/>
            <w:shd w:val="clear" w:color="auto" w:fill="EEF3FA"/>
            <w:tcBorders>
              <w:top w:val="nil"/>
              <w:bottom w:val="nil"/>
              <w:right w:val="nil"/>
              <w:left w:val="single" w:sz="24" w:color="C2622C"/>
            </w:tcBorders>
          </w:tcPr>
          <w:p>
            <w:r>
              <w:rPr>
                <w:b/>
                <w:sz w:val="20"/>
              </w:rPr>
              <w:t>Una aclaración sobre la edición de TOGAF.</w:t>
            </w:r>
            <w:r>
              <w:rPr>
                <w:sz w:val="20"/>
              </w:rPr>
              <w:t xml:space="preserve"> En las ediciones 9.x el gobierno estaba en la parte «Architecture Capability Framework» (Parte VII en la 9.1, Parte VI en la 9.2). En la 10.ª edición está en el documento </w:t>
            </w:r>
            <w:r>
              <w:rPr>
                <w:i/>
                <w:sz w:val="20"/>
              </w:rPr>
              <w:t>Enterprise Architecture Capability and Governance</w:t>
            </w:r>
            <w:r>
              <w:rPr>
                <w:sz w:val="20"/>
              </w:rPr>
              <w:t>, que es parte del contenido fundamental del estándar. Si una fuente cita el gobierno por un número de parte, búsquenlo por el nombre del capítulo —Architecture Board, Architecture Contracts, Architecture Compliance—, no por el número.</w:t>
            </w:r>
          </w:p>
        </w:tc>
      </w:tr>
    </w:tbl>
    <w:p>
      <w:pPr>
        <w:spacing w:after="40"/>
      </w:pPr>
    </w:p>
    <w:p>
      <w:pPr>
        <w:pStyle w:val="Heading1"/>
      </w:pPr>
      <w:r>
        <w:t>2. Comparativo A · COBIT 2019 frente a TOGAF</w:t>
      </w:r>
    </w:p>
    <w:p>
      <w:r>
        <w:rPr>
          <w:b/>
        </w:rPr>
        <w:t>Lo que se evalúa es la comparación, no el resumen.</w:t>
      </w:r>
      <w:r>
        <w:t xml:space="preserve"> Dos párrafos que describen cada marco por separado no son un comparativo. La forma más segura de escribirlo es una tabla por dimensiones y, debajo, un párrafo que diga cómo se complementan en su organización.</w:t>
      </w:r>
    </w:p>
    <w:p>
      <w:r>
        <w:t>Esta es la tabla de referencia. No la copien: úsenla para verificar la suya.</w:t>
      </w:r>
    </w:p>
    <w:tbl>
      <w:tblPr>
        <w:tblW w:type="auto" w:w="0"/>
        <w:jc w:val="center"/>
        <w:tblLook w:firstColumn="1" w:firstRow="1" w:lastColumn="0" w:lastRow="0" w:noHBand="0" w:noVBand="1" w:val="04A0"/>
        <w:tblBorders>
          <w:top w:val="single" w:sz="4" w:color="B8C4D8"/>
          <w:left w:val="single" w:sz="4" w:color="B8C4D8"/>
          <w:bottom w:val="single" w:sz="4" w:color="B8C4D8"/>
          <w:right w:val="single" w:sz="4" w:color="B8C4D8"/>
          <w:insideH w:val="single" w:sz="4" w:color="B8C4D8"/>
          <w:insideV w:val="single" w:sz="4" w:color="B8C4D8"/>
        </w:tblBorders>
      </w:tblPr>
      <w:tblGrid>
        <w:gridCol w:w="3135"/>
        <w:gridCol w:w="3135"/>
        <w:gridCol w:w="3135"/>
      </w:tblGrid>
      <w:tr>
        <w:trPr>
          <w:tblHeader w:val="true"/>
        </w:trPr>
        <w:tc>
          <w:tcPr>
            <w:tcW w:type="dxa" w:w="1928"/>
            <w:shd w:val="clear" w:color="auto" w:fill="DCE6F2"/>
          </w:tcPr>
          <w:p>
            <w:pPr>
              <w:spacing w:after="20"/>
            </w:pPr>
            <w:r/>
            <w:r>
              <w:rPr>
                <w:b/>
                <w:sz w:val="18"/>
              </w:rPr>
              <w:t>Dimensión</w:t>
            </w:r>
          </w:p>
        </w:tc>
        <w:tc>
          <w:tcPr>
            <w:tcW w:type="dxa" w:w="3628"/>
            <w:shd w:val="clear" w:color="auto" w:fill="DCE6F2"/>
          </w:tcPr>
          <w:p>
            <w:pPr>
              <w:spacing w:after="20"/>
            </w:pPr>
            <w:r/>
            <w:r>
              <w:rPr>
                <w:b/>
                <w:sz w:val="18"/>
              </w:rPr>
              <w:t>COBIT 2019</w:t>
            </w:r>
          </w:p>
        </w:tc>
        <w:tc>
          <w:tcPr>
            <w:tcW w:type="dxa" w:w="3628"/>
            <w:shd w:val="clear" w:color="auto" w:fill="DCE6F2"/>
          </w:tcPr>
          <w:p>
            <w:pPr>
              <w:spacing w:after="20"/>
            </w:pPr>
            <w:r/>
            <w:r>
              <w:rPr>
                <w:b/>
                <w:sz w:val="18"/>
              </w:rPr>
              <w:t>TOGAF 10</w:t>
            </w:r>
          </w:p>
        </w:tc>
      </w:tr>
      <w:tr>
        <w:tc>
          <w:tcPr>
            <w:tcW w:type="dxa" w:w="1928"/>
          </w:tcPr>
          <w:p>
            <w:pPr>
              <w:spacing w:after="20"/>
            </w:pPr>
            <w:r/>
            <w:r>
              <w:rPr>
                <w:sz w:val="18"/>
              </w:rPr>
              <w:t>Pregunta que responde</w:t>
            </w:r>
          </w:p>
        </w:tc>
        <w:tc>
          <w:tcPr>
            <w:tcW w:type="dxa" w:w="3628"/>
          </w:tcPr>
          <w:p>
            <w:pPr>
              <w:spacing w:after="20"/>
            </w:pPr>
            <w:r/>
            <w:r>
              <w:rPr>
                <w:sz w:val="18"/>
              </w:rPr>
              <w:t>Qué debe lograr el gobierno de la información y la tecnología en toda la empresa</w:t>
            </w:r>
          </w:p>
        </w:tc>
        <w:tc>
          <w:tcPr>
            <w:tcW w:type="dxa" w:w="3628"/>
          </w:tcPr>
          <w:p>
            <w:pPr>
              <w:spacing w:after="20"/>
            </w:pPr>
            <w:r/>
            <w:r>
              <w:rPr>
                <w:sz w:val="18"/>
              </w:rPr>
              <w:t>Cómo se gobierna la arquitectura: quién decide, con qué proceso y con qué criterios</w:t>
            </w:r>
          </w:p>
        </w:tc>
      </w:tr>
      <w:tr>
        <w:tc>
          <w:tcPr>
            <w:tcW w:type="dxa" w:w="1928"/>
          </w:tcPr>
          <w:p>
            <w:pPr>
              <w:spacing w:after="20"/>
            </w:pPr>
            <w:r/>
            <w:r>
              <w:rPr>
                <w:sz w:val="18"/>
              </w:rPr>
              <w:t>Alcance</w:t>
            </w:r>
          </w:p>
        </w:tc>
        <w:tc>
          <w:tcPr>
            <w:tcW w:type="dxa" w:w="3628"/>
          </w:tcPr>
          <w:p>
            <w:pPr>
              <w:spacing w:after="20"/>
            </w:pPr>
            <w:r/>
            <w:r>
              <w:rPr>
                <w:sz w:val="18"/>
              </w:rPr>
              <w:t>Todo el gobierno y la gestión de I&amp;T: 40 objetivos en cinco dominios (EDM, APO, BAI, DSS, MEA)</w:t>
            </w:r>
          </w:p>
        </w:tc>
        <w:tc>
          <w:tcPr>
            <w:tcW w:type="dxa" w:w="3628"/>
          </w:tcPr>
          <w:p>
            <w:pPr>
              <w:spacing w:after="20"/>
            </w:pPr>
            <w:r/>
            <w:r>
              <w:rPr>
                <w:sz w:val="18"/>
              </w:rPr>
              <w:t>La capacidad de arquitectura empresarial y su gobierno: ARB, cumplimiento, contratos de arquitectura</w:t>
            </w:r>
          </w:p>
        </w:tc>
      </w:tr>
      <w:tr>
        <w:tc>
          <w:tcPr>
            <w:tcW w:type="dxa" w:w="1928"/>
          </w:tcPr>
          <w:p>
            <w:pPr>
              <w:spacing w:after="20"/>
            </w:pPr>
            <w:r/>
            <w:r>
              <w:rPr>
                <w:sz w:val="18"/>
              </w:rPr>
              <w:t>Dónde vive la arquitectura</w:t>
            </w:r>
          </w:p>
        </w:tc>
        <w:tc>
          <w:tcPr>
            <w:tcW w:type="dxa" w:w="3628"/>
          </w:tcPr>
          <w:p>
            <w:pPr>
              <w:spacing w:after="20"/>
            </w:pPr>
            <w:r/>
            <w:r>
              <w:rPr>
                <w:sz w:val="18"/>
              </w:rPr>
              <w:t>En un solo objetivo de gestión: APO03</w:t>
            </w:r>
          </w:p>
        </w:tc>
        <w:tc>
          <w:tcPr>
            <w:tcW w:type="dxa" w:w="3628"/>
          </w:tcPr>
          <w:p>
            <w:pPr>
              <w:spacing w:after="20"/>
            </w:pPr>
            <w:r/>
            <w:r>
              <w:rPr>
                <w:sz w:val="18"/>
              </w:rPr>
              <w:t>En todo el estándar; el gobierno es un documento propio</w:t>
            </w:r>
          </w:p>
        </w:tc>
      </w:tr>
      <w:tr>
        <w:tc>
          <w:tcPr>
            <w:tcW w:type="dxa" w:w="1928"/>
          </w:tcPr>
          <w:p>
            <w:pPr>
              <w:spacing w:after="20"/>
            </w:pPr>
            <w:r/>
            <w:r>
              <w:rPr>
                <w:sz w:val="18"/>
              </w:rPr>
              <w:t>Órgano que decide</w:t>
            </w:r>
          </w:p>
        </w:tc>
        <w:tc>
          <w:tcPr>
            <w:tcW w:type="dxa" w:w="3628"/>
          </w:tcPr>
          <w:p>
            <w:pPr>
              <w:spacing w:after="20"/>
            </w:pPr>
            <w:r/>
            <w:r>
              <w:rPr>
                <w:sz w:val="18"/>
              </w:rPr>
              <w:t>No lo prescribe: define responsabilidades (matriz RACI) por práctica</w:t>
            </w:r>
          </w:p>
        </w:tc>
        <w:tc>
          <w:tcPr>
            <w:tcW w:type="dxa" w:w="3628"/>
          </w:tcPr>
          <w:p>
            <w:pPr>
              <w:spacing w:after="20"/>
            </w:pPr>
            <w:r/>
            <w:r>
              <w:rPr>
                <w:sz w:val="18"/>
              </w:rPr>
              <w:t>El Architecture Board, con tamaño, mandato y operación sugeridos</w:t>
            </w:r>
          </w:p>
        </w:tc>
      </w:tr>
      <w:tr>
        <w:tc>
          <w:tcPr>
            <w:tcW w:type="dxa" w:w="1928"/>
          </w:tcPr>
          <w:p>
            <w:pPr>
              <w:spacing w:after="20"/>
            </w:pPr>
            <w:r/>
            <w:r>
              <w:rPr>
                <w:sz w:val="18"/>
              </w:rPr>
              <w:t>Cómo mide</w:t>
            </w:r>
          </w:p>
        </w:tc>
        <w:tc>
          <w:tcPr>
            <w:tcW w:type="dxa" w:w="3628"/>
          </w:tcPr>
          <w:p>
            <w:pPr>
              <w:spacing w:after="20"/>
            </w:pPr>
            <w:r/>
            <w:r>
              <w:rPr>
                <w:sz w:val="18"/>
              </w:rPr>
              <w:t>Niveles de capacidad de proceso de 0 a 5 y metas de alineamiento</w:t>
            </w:r>
          </w:p>
        </w:tc>
        <w:tc>
          <w:tcPr>
            <w:tcW w:type="dxa" w:w="3628"/>
          </w:tcPr>
          <w:p>
            <w:pPr>
              <w:spacing w:after="20"/>
            </w:pPr>
            <w:r/>
            <w:r>
              <w:rPr>
                <w:sz w:val="18"/>
              </w:rPr>
              <w:t>Niveles de cumplimiento de un proyecto frente a la arquitectura</w:t>
            </w:r>
          </w:p>
        </w:tc>
      </w:tr>
      <w:tr>
        <w:tc>
          <w:tcPr>
            <w:tcW w:type="dxa" w:w="1928"/>
          </w:tcPr>
          <w:p>
            <w:pPr>
              <w:spacing w:after="20"/>
            </w:pPr>
            <w:r/>
            <w:r>
              <w:rPr>
                <w:sz w:val="18"/>
              </w:rPr>
              <w:t>Mecanismo de control</w:t>
            </w:r>
          </w:p>
        </w:tc>
        <w:tc>
          <w:tcPr>
            <w:tcW w:type="dxa" w:w="3628"/>
          </w:tcPr>
          <w:p>
            <w:pPr>
              <w:spacing w:after="20"/>
            </w:pPr>
            <w:r/>
            <w:r>
              <w:rPr>
                <w:sz w:val="18"/>
              </w:rPr>
              <w:t>Prácticas, actividades y métricas de ejemplo por objetivo</w:t>
            </w:r>
          </w:p>
        </w:tc>
        <w:tc>
          <w:tcPr>
            <w:tcW w:type="dxa" w:w="3628"/>
          </w:tcPr>
          <w:p>
            <w:pPr>
              <w:spacing w:after="20"/>
            </w:pPr>
            <w:r/>
            <w:r>
              <w:rPr>
                <w:sz w:val="18"/>
              </w:rPr>
              <w:t>Revisiones de cumplimiento, dispensas (excepciones) y contratos de arquitectura</w:t>
            </w:r>
          </w:p>
        </w:tc>
      </w:tr>
      <w:tr>
        <w:tc>
          <w:tcPr>
            <w:tcW w:type="dxa" w:w="1928"/>
          </w:tcPr>
          <w:p>
            <w:pPr>
              <w:spacing w:after="20"/>
            </w:pPr>
            <w:r/>
            <w:r>
              <w:rPr>
                <w:sz w:val="18"/>
              </w:rPr>
              <w:t>Punto de articulación</w:t>
            </w:r>
          </w:p>
        </w:tc>
        <w:tc>
          <w:tcPr>
            <w:tcW w:type="dxa" w:w="3628"/>
          </w:tcPr>
          <w:p>
            <w:pPr>
              <w:spacing w:after="20"/>
            </w:pPr>
            <w:r/>
            <w:r>
              <w:rPr>
                <w:sz w:val="18"/>
              </w:rPr>
              <w:t>APO03 dice que debe existir una arquitectura gestionada</w:t>
            </w:r>
          </w:p>
        </w:tc>
        <w:tc>
          <w:tcPr>
            <w:tcW w:type="dxa" w:w="3628"/>
          </w:tcPr>
          <w:p>
            <w:pPr>
              <w:spacing w:after="20"/>
            </w:pPr>
            <w:r/>
            <w:r>
              <w:rPr>
                <w:sz w:val="18"/>
              </w:rPr>
              <w:t>TOGAF dice cómo operarla; el ARB ejecuta APO03.03 y APO03.04</w:t>
            </w:r>
          </w:p>
        </w:tc>
      </w:tr>
    </w:tbl>
    <w:p>
      <w:pPr>
        <w:spacing w:after="40"/>
      </w:pPr>
    </w:p>
    <w:p>
      <w:pPr>
        <w:pStyle w:val="Heading2"/>
      </w:pPr>
      <w:r>
        <w:t>2.1 APO03 en una tabla</w:t>
      </w:r>
    </w:p>
    <w:tbl>
      <w:tblPr>
        <w:tblW w:type="auto" w:w="0"/>
        <w:jc w:val="center"/>
        <w:tblLook w:firstColumn="1" w:firstRow="1" w:lastColumn="0" w:lastRow="0" w:noHBand="0" w:noVBand="1" w:val="04A0"/>
        <w:tblBorders>
          <w:top w:val="single" w:sz="4" w:color="B8C4D8"/>
          <w:left w:val="single" w:sz="4" w:color="B8C4D8"/>
          <w:bottom w:val="single" w:sz="4" w:color="B8C4D8"/>
          <w:right w:val="single" w:sz="4" w:color="B8C4D8"/>
          <w:insideH w:val="single" w:sz="4" w:color="B8C4D8"/>
          <w:insideV w:val="single" w:sz="4" w:color="B8C4D8"/>
        </w:tblBorders>
      </w:tblPr>
      <w:tblGrid>
        <w:gridCol w:w="3135"/>
        <w:gridCol w:w="3135"/>
        <w:gridCol w:w="3135"/>
      </w:tblGrid>
      <w:tr>
        <w:trPr>
          <w:tblHeader w:val="true"/>
        </w:trPr>
        <w:tc>
          <w:tcPr>
            <w:tcW w:type="dxa" w:w="1361"/>
            <w:shd w:val="clear" w:color="auto" w:fill="DCE6F2"/>
          </w:tcPr>
          <w:p>
            <w:pPr>
              <w:spacing w:after="20"/>
            </w:pPr>
            <w:r/>
            <w:r>
              <w:rPr>
                <w:b/>
                <w:sz w:val="19"/>
              </w:rPr>
              <w:t>Práctica</w:t>
            </w:r>
          </w:p>
        </w:tc>
        <w:tc>
          <w:tcPr>
            <w:tcW w:type="dxa" w:w="3742"/>
            <w:shd w:val="clear" w:color="auto" w:fill="DCE6F2"/>
          </w:tcPr>
          <w:p>
            <w:pPr>
              <w:spacing w:after="20"/>
            </w:pPr>
            <w:r/>
            <w:r>
              <w:rPr>
                <w:b/>
                <w:sz w:val="19"/>
              </w:rPr>
              <w:t>Qué pide</w:t>
            </w:r>
          </w:p>
        </w:tc>
        <w:tc>
          <w:tcPr>
            <w:tcW w:type="dxa" w:w="4082"/>
            <w:shd w:val="clear" w:color="auto" w:fill="DCE6F2"/>
          </w:tcPr>
          <w:p>
            <w:pPr>
              <w:spacing w:after="20"/>
            </w:pPr>
            <w:r/>
            <w:r>
              <w:rPr>
                <w:b/>
                <w:sz w:val="19"/>
              </w:rPr>
              <w:t>Qué la ejecuta en un sistema de gobierno</w:t>
            </w:r>
          </w:p>
        </w:tc>
      </w:tr>
      <w:tr>
        <w:tc>
          <w:tcPr>
            <w:tcW w:type="dxa" w:w="1361"/>
          </w:tcPr>
          <w:p>
            <w:pPr>
              <w:spacing w:after="20"/>
            </w:pPr>
            <w:r/>
            <w:r>
              <w:rPr>
                <w:sz w:val="19"/>
              </w:rPr>
              <w:t>APO03.01</w:t>
            </w:r>
          </w:p>
        </w:tc>
        <w:tc>
          <w:tcPr>
            <w:tcW w:type="dxa" w:w="3742"/>
          </w:tcPr>
          <w:p>
            <w:pPr>
              <w:spacing w:after="20"/>
            </w:pPr>
            <w:r/>
            <w:r>
              <w:rPr>
                <w:sz w:val="19"/>
              </w:rPr>
              <w:t>Desarrollar la visión de la arquitectura empresarial</w:t>
            </w:r>
          </w:p>
        </w:tc>
        <w:tc>
          <w:tcPr>
            <w:tcW w:type="dxa" w:w="4082"/>
          </w:tcPr>
          <w:p>
            <w:pPr>
              <w:spacing w:after="20"/>
            </w:pPr>
            <w:r/>
            <w:r>
              <w:rPr>
                <w:sz w:val="19"/>
              </w:rPr>
              <w:t>La estrategia y los principios</w:t>
            </w:r>
          </w:p>
        </w:tc>
      </w:tr>
      <w:tr>
        <w:tc>
          <w:tcPr>
            <w:tcW w:type="dxa" w:w="1361"/>
          </w:tcPr>
          <w:p>
            <w:pPr>
              <w:spacing w:after="20"/>
            </w:pPr>
            <w:r/>
            <w:r>
              <w:rPr>
                <w:sz w:val="19"/>
              </w:rPr>
              <w:t>APO03.02</w:t>
            </w:r>
          </w:p>
        </w:tc>
        <w:tc>
          <w:tcPr>
            <w:tcW w:type="dxa" w:w="3742"/>
          </w:tcPr>
          <w:p>
            <w:pPr>
              <w:spacing w:after="20"/>
            </w:pPr>
            <w:r/>
            <w:r>
              <w:rPr>
                <w:sz w:val="19"/>
              </w:rPr>
              <w:t>Definir la arquitectura de referencia</w:t>
            </w:r>
          </w:p>
        </w:tc>
        <w:tc>
          <w:tcPr>
            <w:tcW w:type="dxa" w:w="4082"/>
          </w:tcPr>
          <w:p>
            <w:pPr>
              <w:spacing w:after="20"/>
            </w:pPr>
            <w:r/>
            <w:r>
              <w:rPr>
                <w:sz w:val="19"/>
              </w:rPr>
              <w:t>El repositorio de arquitectura y la arquitectura objetivo</w:t>
            </w:r>
          </w:p>
        </w:tc>
      </w:tr>
      <w:tr>
        <w:tc>
          <w:tcPr>
            <w:tcW w:type="dxa" w:w="1361"/>
          </w:tcPr>
          <w:p>
            <w:pPr>
              <w:spacing w:after="20"/>
            </w:pPr>
            <w:r/>
            <w:r>
              <w:rPr>
                <w:sz w:val="19"/>
              </w:rPr>
              <w:t>APO03.03</w:t>
            </w:r>
          </w:p>
        </w:tc>
        <w:tc>
          <w:tcPr>
            <w:tcW w:type="dxa" w:w="3742"/>
          </w:tcPr>
          <w:p>
            <w:pPr>
              <w:spacing w:after="20"/>
            </w:pPr>
            <w:r/>
            <w:r>
              <w:rPr>
                <w:sz w:val="19"/>
              </w:rPr>
              <w:t>Seleccionar oportunidades y soluciones</w:t>
            </w:r>
          </w:p>
        </w:tc>
        <w:tc>
          <w:tcPr>
            <w:tcW w:type="dxa" w:w="4082"/>
          </w:tcPr>
          <w:p>
            <w:pPr>
              <w:spacing w:after="20"/>
            </w:pPr>
            <w:r/>
            <w:r>
              <w:rPr>
                <w:sz w:val="19"/>
              </w:rPr>
              <w:t>La revisión en el momento de la idea (R0)</w:t>
            </w:r>
          </w:p>
        </w:tc>
      </w:tr>
      <w:tr>
        <w:tc>
          <w:tcPr>
            <w:tcW w:type="dxa" w:w="1361"/>
          </w:tcPr>
          <w:p>
            <w:pPr>
              <w:spacing w:after="20"/>
            </w:pPr>
            <w:r/>
            <w:r>
              <w:rPr>
                <w:sz w:val="19"/>
              </w:rPr>
              <w:t>APO03.04</w:t>
            </w:r>
          </w:p>
        </w:tc>
        <w:tc>
          <w:tcPr>
            <w:tcW w:type="dxa" w:w="3742"/>
          </w:tcPr>
          <w:p>
            <w:pPr>
              <w:spacing w:after="20"/>
            </w:pPr>
            <w:r/>
            <w:r>
              <w:rPr>
                <w:sz w:val="19"/>
              </w:rPr>
              <w:t>Definir la implementación de la arquitectura</w:t>
            </w:r>
          </w:p>
        </w:tc>
        <w:tc>
          <w:tcPr>
            <w:tcW w:type="dxa" w:w="4082"/>
          </w:tcPr>
          <w:p>
            <w:pPr>
              <w:spacing w:after="20"/>
            </w:pPr>
            <w:r/>
            <w:r>
              <w:rPr>
                <w:sz w:val="19"/>
              </w:rPr>
              <w:t>Las revisiones de diseño y de salida a producción</w:t>
            </w:r>
          </w:p>
        </w:tc>
      </w:tr>
      <w:tr>
        <w:tc>
          <w:tcPr>
            <w:tcW w:type="dxa" w:w="1361"/>
          </w:tcPr>
          <w:p>
            <w:pPr>
              <w:spacing w:after="20"/>
            </w:pPr>
            <w:r/>
            <w:r>
              <w:rPr>
                <w:sz w:val="19"/>
              </w:rPr>
              <w:t>APO03.05</w:t>
            </w:r>
          </w:p>
        </w:tc>
        <w:tc>
          <w:tcPr>
            <w:tcW w:type="dxa" w:w="3742"/>
          </w:tcPr>
          <w:p>
            <w:pPr>
              <w:spacing w:after="20"/>
            </w:pPr>
            <w:r/>
            <w:r>
              <w:rPr>
                <w:sz w:val="19"/>
              </w:rPr>
              <w:t>Proveer servicios de arquitectura empresarial</w:t>
            </w:r>
          </w:p>
        </w:tc>
        <w:tc>
          <w:tcPr>
            <w:tcW w:type="dxa" w:w="4082"/>
          </w:tcPr>
          <w:p>
            <w:pPr>
              <w:spacing w:after="20"/>
            </w:pPr>
            <w:r/>
            <w:r>
              <w:rPr>
                <w:sz w:val="19"/>
              </w:rPr>
              <w:t>El arquitecto como servicio a los proyectos</w:t>
            </w:r>
          </w:p>
        </w:tc>
      </w:tr>
    </w:tbl>
    <w:p>
      <w:pPr>
        <w:spacing w:after="40"/>
      </w:pPr>
    </w:p>
    <w:p>
      <w:pPr>
        <w:pStyle w:val="Heading2"/>
      </w:pPr>
      <w:r>
        <w:t>2.2 Gobierno y gestión: la distinción que más se confunde</w:t>
      </w:r>
    </w:p>
    <w:p>
      <w:r>
        <w:t>COBIT 2019 tiene 40 objetivos en cinco dominios. Solo el dominio EDM (</w:t>
      </w:r>
      <w:r>
        <w:rPr>
          <w:i/>
        </w:rPr>
        <w:t>Evaluate, Direct and Monitor</w:t>
      </w:r>
      <w:r>
        <w:t xml:space="preserve">) es de gobierno; APO, BAI, DSS y MEA son de gestión. El gobierno lo ejerce el consejo directivo; la gestión, la dirección ejecutiva. Esto importa en la Actividad 3.2: la rúbrica pide al menos dos objetivos </w:t>
      </w:r>
      <w:r>
        <w:rPr>
          <w:b/>
        </w:rPr>
        <w:t>de gestión</w:t>
      </w:r>
      <w:r>
        <w:t>, y EDM01 no cuenta como uno de ellos.</w:t>
      </w:r>
    </w:p>
    <w:p>
      <w:pPr>
        <w:pStyle w:val="Heading1"/>
      </w:pPr>
      <w:r>
        <w:t>3. Comparativo B · La normativa colombiana</w:t>
      </w:r>
    </w:p>
    <w:p>
      <w:r>
        <w:rPr>
          <w:b/>
        </w:rPr>
        <w:t>El centro de este comparativo es la obligatoriedad.</w:t>
      </w:r>
      <w:r>
        <w:t xml:space="preserve"> El Marco de Referencia de Arquitectura Empresarial (MRAE) del MinTIC obliga a los sujetos obligados del Decreto 1078 de 2015: entidades públicas y particulares que cumplen funciones públicas. Una IPS privada como Red Salud Andina no es sujeto obligado del MRAE, pero sí de la regulación sectorial de salud y de la protección de datos personales. Un hospital público (ESE) sería sujeto obligado de las dos. Su comparativo tiene que decir en cuál de esos casos está su organización.</w:t>
      </w:r>
    </w:p>
    <w:tbl>
      <w:tblPr>
        <w:tblW w:type="auto" w:w="0"/>
        <w:jc w:val="center"/>
        <w:tblLook w:firstColumn="1" w:firstRow="1" w:lastColumn="0" w:lastRow="0" w:noHBand="0" w:noVBand="1" w:val="04A0"/>
        <w:tblBorders>
          <w:top w:val="single" w:sz="4" w:color="B8C4D8"/>
          <w:left w:val="single" w:sz="4" w:color="B8C4D8"/>
          <w:bottom w:val="single" w:sz="4" w:color="B8C4D8"/>
          <w:right w:val="single" w:sz="4" w:color="B8C4D8"/>
          <w:insideH w:val="single" w:sz="4" w:color="B8C4D8"/>
          <w:insideV w:val="single" w:sz="4" w:color="B8C4D8"/>
        </w:tblBorders>
      </w:tblPr>
      <w:tblGrid>
        <w:gridCol w:w="1881"/>
        <w:gridCol w:w="1881"/>
        <w:gridCol w:w="1881"/>
        <w:gridCol w:w="1881"/>
        <w:gridCol w:w="1881"/>
      </w:tblGrid>
      <w:tr>
        <w:trPr>
          <w:tblHeader w:val="true"/>
        </w:trPr>
        <w:tc>
          <w:tcPr>
            <w:tcW w:type="dxa" w:w="1587"/>
            <w:shd w:val="clear" w:color="auto" w:fill="DCE6F2"/>
          </w:tcPr>
          <w:p>
            <w:pPr>
              <w:spacing w:after="20"/>
            </w:pPr>
            <w:r/>
            <w:r>
              <w:rPr>
                <w:b/>
                <w:sz w:val="17"/>
              </w:rPr>
              <w:t>Norma</w:t>
            </w:r>
          </w:p>
        </w:tc>
        <w:tc>
          <w:tcPr>
            <w:tcW w:type="dxa" w:w="1020"/>
            <w:shd w:val="clear" w:color="auto" w:fill="DCE6F2"/>
          </w:tcPr>
          <w:p>
            <w:pPr>
              <w:spacing w:after="20"/>
            </w:pPr>
            <w:r/>
            <w:r>
              <w:rPr>
                <w:b/>
                <w:sz w:val="17"/>
              </w:rPr>
              <w:t>Entidad</w:t>
            </w:r>
          </w:p>
        </w:tc>
        <w:tc>
          <w:tcPr>
            <w:tcW w:type="dxa" w:w="2835"/>
            <w:shd w:val="clear" w:color="auto" w:fill="DCE6F2"/>
          </w:tcPr>
          <w:p>
            <w:pPr>
              <w:spacing w:after="20"/>
            </w:pPr>
            <w:r/>
            <w:r>
              <w:rPr>
                <w:b/>
                <w:sz w:val="17"/>
              </w:rPr>
              <w:t>Qué establece</w:t>
            </w:r>
          </w:p>
        </w:tc>
        <w:tc>
          <w:tcPr>
            <w:tcW w:type="dxa" w:w="1928"/>
            <w:shd w:val="clear" w:color="auto" w:fill="DCE6F2"/>
          </w:tcPr>
          <w:p>
            <w:pPr>
              <w:spacing w:after="20"/>
            </w:pPr>
            <w:r/>
            <w:r>
              <w:rPr>
                <w:b/>
                <w:sz w:val="17"/>
              </w:rPr>
              <w:t>A quién obliga</w:t>
            </w:r>
          </w:p>
        </w:tc>
        <w:tc>
          <w:tcPr>
            <w:tcW w:type="dxa" w:w="1814"/>
            <w:shd w:val="clear" w:color="auto" w:fill="DCE6F2"/>
          </w:tcPr>
          <w:p>
            <w:pPr>
              <w:spacing w:after="20"/>
            </w:pPr>
            <w:r/>
            <w:r>
              <w:rPr>
                <w:b/>
                <w:sz w:val="17"/>
              </w:rPr>
              <w:t>Para Red Salud Andina</w:t>
            </w:r>
          </w:p>
        </w:tc>
      </w:tr>
      <w:tr>
        <w:tc>
          <w:tcPr>
            <w:tcW w:type="dxa" w:w="1587"/>
          </w:tcPr>
          <w:p>
            <w:pPr>
              <w:spacing w:after="20"/>
            </w:pPr>
            <w:r/>
            <w:r>
              <w:rPr>
                <w:sz w:val="17"/>
              </w:rPr>
              <w:t>Decreto 767 de 2022</w:t>
            </w:r>
          </w:p>
        </w:tc>
        <w:tc>
          <w:tcPr>
            <w:tcW w:type="dxa" w:w="1020"/>
          </w:tcPr>
          <w:p>
            <w:pPr>
              <w:spacing w:after="20"/>
            </w:pPr>
            <w:r/>
            <w:r>
              <w:rPr>
                <w:sz w:val="17"/>
              </w:rPr>
              <w:t>MinTIC</w:t>
            </w:r>
          </w:p>
        </w:tc>
        <w:tc>
          <w:tcPr>
            <w:tcW w:type="dxa" w:w="2835"/>
          </w:tcPr>
          <w:p>
            <w:pPr>
              <w:spacing w:after="20"/>
            </w:pPr>
            <w:r/>
            <w:r>
              <w:rPr>
                <w:sz w:val="17"/>
              </w:rPr>
              <w:t>Lineamientos de la Política de Gobierno Digital; la arquitectura empresarial es uno de sus habilitadores</w:t>
            </w:r>
          </w:p>
        </w:tc>
        <w:tc>
          <w:tcPr>
            <w:tcW w:type="dxa" w:w="1928"/>
          </w:tcPr>
          <w:p>
            <w:pPr>
              <w:spacing w:after="20"/>
            </w:pPr>
            <w:r/>
            <w:r>
              <w:rPr>
                <w:sz w:val="17"/>
              </w:rPr>
              <w:t>Entidades públicas y particulares que cumplen funciones públicas</w:t>
            </w:r>
          </w:p>
        </w:tc>
        <w:tc>
          <w:tcPr>
            <w:tcW w:type="dxa" w:w="1814"/>
          </w:tcPr>
          <w:p>
            <w:pPr>
              <w:spacing w:after="20"/>
            </w:pPr>
            <w:r/>
            <w:r>
              <w:rPr>
                <w:sz w:val="17"/>
              </w:rPr>
              <w:t>Referencia, no obligación directa para una IPS privada</w:t>
            </w:r>
          </w:p>
        </w:tc>
      </w:tr>
      <w:tr>
        <w:tc>
          <w:tcPr>
            <w:tcW w:type="dxa" w:w="1587"/>
          </w:tcPr>
          <w:p>
            <w:pPr>
              <w:spacing w:after="20"/>
            </w:pPr>
            <w:r/>
            <w:r>
              <w:rPr>
                <w:sz w:val="17"/>
              </w:rPr>
              <w:t>Resolución 1978 de 2023</w:t>
            </w:r>
          </w:p>
        </w:tc>
        <w:tc>
          <w:tcPr>
            <w:tcW w:type="dxa" w:w="1020"/>
          </w:tcPr>
          <w:p>
            <w:pPr>
              <w:spacing w:after="20"/>
            </w:pPr>
            <w:r/>
            <w:r>
              <w:rPr>
                <w:sz w:val="17"/>
              </w:rPr>
              <w:t>MinTIC</w:t>
            </w:r>
          </w:p>
        </w:tc>
        <w:tc>
          <w:tcPr>
            <w:tcW w:type="dxa" w:w="2835"/>
          </w:tcPr>
          <w:p>
            <w:pPr>
              <w:spacing w:after="20"/>
            </w:pPr>
            <w:r/>
            <w:r>
              <w:rPr>
                <w:sz w:val="17"/>
              </w:rPr>
              <w:t>Adopta la versión 3 del Marco de Referencia de Arquitectura Empresarial (MRAE)</w:t>
            </w:r>
          </w:p>
        </w:tc>
        <w:tc>
          <w:tcPr>
            <w:tcW w:type="dxa" w:w="1928"/>
          </w:tcPr>
          <w:p>
            <w:pPr>
              <w:spacing w:after="20"/>
            </w:pPr>
            <w:r/>
            <w:r>
              <w:rPr>
                <w:sz w:val="17"/>
              </w:rPr>
              <w:t>Sujetos obligados del Decreto 1078 de 2015</w:t>
            </w:r>
          </w:p>
        </w:tc>
        <w:tc>
          <w:tcPr>
            <w:tcW w:type="dxa" w:w="1814"/>
          </w:tcPr>
          <w:p>
            <w:pPr>
              <w:spacing w:after="20"/>
            </w:pPr>
            <w:r/>
            <w:r>
              <w:rPr>
                <w:sz w:val="17"/>
              </w:rPr>
              <w:t>Referencia; obligatoria si la organización del grupo es pública, como una ESE</w:t>
            </w:r>
          </w:p>
        </w:tc>
      </w:tr>
      <w:tr>
        <w:tc>
          <w:tcPr>
            <w:tcW w:type="dxa" w:w="1587"/>
          </w:tcPr>
          <w:p>
            <w:pPr>
              <w:spacing w:after="20"/>
            </w:pPr>
            <w:r/>
            <w:r>
              <w:rPr>
                <w:sz w:val="17"/>
              </w:rPr>
              <w:t>Decreto 1263 de 2022</w:t>
            </w:r>
          </w:p>
        </w:tc>
        <w:tc>
          <w:tcPr>
            <w:tcW w:type="dxa" w:w="1020"/>
          </w:tcPr>
          <w:p>
            <w:pPr>
              <w:spacing w:after="20"/>
            </w:pPr>
            <w:r/>
            <w:r>
              <w:rPr>
                <w:sz w:val="17"/>
              </w:rPr>
              <w:t>MinTIC</w:t>
            </w:r>
          </w:p>
        </w:tc>
        <w:tc>
          <w:tcPr>
            <w:tcW w:type="dxa" w:w="2835"/>
          </w:tcPr>
          <w:p>
            <w:pPr>
              <w:spacing w:after="20"/>
            </w:pPr>
            <w:r/>
            <w:r>
              <w:rPr>
                <w:sz w:val="17"/>
              </w:rPr>
              <w:t>Lineamientos de transformación digital pública e interoperabilidad (adiciona el Título 22 al Decreto 1078 de 2015)</w:t>
            </w:r>
          </w:p>
        </w:tc>
        <w:tc>
          <w:tcPr>
            <w:tcW w:type="dxa" w:w="1928"/>
          </w:tcPr>
          <w:p>
            <w:pPr>
              <w:spacing w:after="20"/>
            </w:pPr>
            <w:r/>
            <w:r>
              <w:rPr>
                <w:sz w:val="17"/>
              </w:rPr>
              <w:t>Sujetos obligados del Decreto 1078 de 2015</w:t>
            </w:r>
          </w:p>
        </w:tc>
        <w:tc>
          <w:tcPr>
            <w:tcW w:type="dxa" w:w="1814"/>
          </w:tcPr>
          <w:p>
            <w:pPr>
              <w:spacing w:after="20"/>
            </w:pPr>
            <w:r/>
            <w:r>
              <w:rPr>
                <w:sz w:val="17"/>
              </w:rPr>
              <w:t>Marco de interoperabilidad que retoma la regulación de salud</w:t>
            </w:r>
          </w:p>
        </w:tc>
      </w:tr>
      <w:tr>
        <w:tc>
          <w:tcPr>
            <w:tcW w:type="dxa" w:w="1587"/>
          </w:tcPr>
          <w:p>
            <w:pPr>
              <w:spacing w:after="20"/>
            </w:pPr>
            <w:r/>
            <w:r>
              <w:rPr>
                <w:sz w:val="17"/>
              </w:rPr>
              <w:t>Ley 1581 de 2012</w:t>
            </w:r>
          </w:p>
        </w:tc>
        <w:tc>
          <w:tcPr>
            <w:tcW w:type="dxa" w:w="1020"/>
          </w:tcPr>
          <w:p>
            <w:pPr>
              <w:spacing w:after="20"/>
            </w:pPr>
            <w:r/>
            <w:r>
              <w:rPr>
                <w:sz w:val="17"/>
              </w:rPr>
              <w:t>Congreso</w:t>
            </w:r>
          </w:p>
        </w:tc>
        <w:tc>
          <w:tcPr>
            <w:tcW w:type="dxa" w:w="2835"/>
          </w:tcPr>
          <w:p>
            <w:pPr>
              <w:spacing w:after="20"/>
            </w:pPr>
            <w:r/>
            <w:r>
              <w:rPr>
                <w:sz w:val="17"/>
              </w:rPr>
              <w:t>Protección de datos personales; los datos de salud son datos sensibles</w:t>
            </w:r>
          </w:p>
        </w:tc>
        <w:tc>
          <w:tcPr>
            <w:tcW w:type="dxa" w:w="1928"/>
          </w:tcPr>
          <w:p>
            <w:pPr>
              <w:spacing w:after="20"/>
            </w:pPr>
            <w:r/>
            <w:r>
              <w:rPr>
                <w:sz w:val="17"/>
              </w:rPr>
              <w:t>Toda organización que trate datos personales</w:t>
            </w:r>
          </w:p>
        </w:tc>
        <w:tc>
          <w:tcPr>
            <w:tcW w:type="dxa" w:w="1814"/>
          </w:tcPr>
          <w:p>
            <w:pPr>
              <w:spacing w:after="20"/>
            </w:pPr>
            <w:r/>
            <w:r>
              <w:rPr>
                <w:sz w:val="17"/>
              </w:rPr>
              <w:t>Obligatoria: sustenta P5 y P6</w:t>
            </w:r>
          </w:p>
        </w:tc>
      </w:tr>
      <w:tr>
        <w:tc>
          <w:tcPr>
            <w:tcW w:type="dxa" w:w="1587"/>
          </w:tcPr>
          <w:p>
            <w:pPr>
              <w:spacing w:after="20"/>
            </w:pPr>
            <w:r/>
            <w:r>
              <w:rPr>
                <w:sz w:val="17"/>
              </w:rPr>
              <w:t>Ley 2015 de 2020</w:t>
            </w:r>
          </w:p>
        </w:tc>
        <w:tc>
          <w:tcPr>
            <w:tcW w:type="dxa" w:w="1020"/>
          </w:tcPr>
          <w:p>
            <w:pPr>
              <w:spacing w:after="20"/>
            </w:pPr>
            <w:r/>
            <w:r>
              <w:rPr>
                <w:sz w:val="17"/>
              </w:rPr>
              <w:t>Congreso</w:t>
            </w:r>
          </w:p>
        </w:tc>
        <w:tc>
          <w:tcPr>
            <w:tcW w:type="dxa" w:w="2835"/>
          </w:tcPr>
          <w:p>
            <w:pPr>
              <w:spacing w:after="20"/>
            </w:pPr>
            <w:r/>
            <w:r>
              <w:rPr>
                <w:sz w:val="17"/>
              </w:rPr>
              <w:t>Crea la historia clínica electrónica interoperable</w:t>
            </w:r>
          </w:p>
        </w:tc>
        <w:tc>
          <w:tcPr>
            <w:tcW w:type="dxa" w:w="1928"/>
          </w:tcPr>
          <w:p>
            <w:pPr>
              <w:spacing w:after="20"/>
            </w:pPr>
            <w:r/>
            <w:r>
              <w:rPr>
                <w:sz w:val="17"/>
              </w:rPr>
              <w:t>Prestadores de servicios de salud y demás actores</w:t>
            </w:r>
          </w:p>
        </w:tc>
        <w:tc>
          <w:tcPr>
            <w:tcW w:type="dxa" w:w="1814"/>
          </w:tcPr>
          <w:p>
            <w:pPr>
              <w:spacing w:after="20"/>
            </w:pPr>
            <w:r/>
            <w:r>
              <w:rPr>
                <w:sz w:val="17"/>
              </w:rPr>
              <w:t>Obligatoria: sustenta P2 y P6</w:t>
            </w:r>
          </w:p>
        </w:tc>
      </w:tr>
      <w:tr>
        <w:tc>
          <w:tcPr>
            <w:tcW w:type="dxa" w:w="1587"/>
          </w:tcPr>
          <w:p>
            <w:pPr>
              <w:spacing w:after="20"/>
            </w:pPr>
            <w:r/>
            <w:r>
              <w:rPr>
                <w:sz w:val="17"/>
              </w:rPr>
              <w:t>Resolución 866 de 2021</w:t>
            </w:r>
          </w:p>
        </w:tc>
        <w:tc>
          <w:tcPr>
            <w:tcW w:type="dxa" w:w="1020"/>
          </w:tcPr>
          <w:p>
            <w:pPr>
              <w:spacing w:after="20"/>
            </w:pPr>
            <w:r/>
            <w:r>
              <w:rPr>
                <w:sz w:val="17"/>
              </w:rPr>
              <w:t>MinSalud</w:t>
            </w:r>
          </w:p>
        </w:tc>
        <w:tc>
          <w:tcPr>
            <w:tcW w:type="dxa" w:w="2835"/>
          </w:tcPr>
          <w:p>
            <w:pPr>
              <w:spacing w:after="20"/>
            </w:pPr>
            <w:r/>
            <w:r>
              <w:rPr>
                <w:sz w:val="17"/>
              </w:rPr>
              <w:t>Conjunto de datos clínicos relevantes para la interoperabilidad y catálogos obligatorios</w:t>
            </w:r>
          </w:p>
        </w:tc>
        <w:tc>
          <w:tcPr>
            <w:tcW w:type="dxa" w:w="1928"/>
          </w:tcPr>
          <w:p>
            <w:pPr>
              <w:spacing w:after="20"/>
            </w:pPr>
            <w:r/>
            <w:r>
              <w:rPr>
                <w:sz w:val="17"/>
              </w:rPr>
              <w:t>Prestadores y actores del sistema de salud</w:t>
            </w:r>
          </w:p>
        </w:tc>
        <w:tc>
          <w:tcPr>
            <w:tcW w:type="dxa" w:w="1814"/>
          </w:tcPr>
          <w:p>
            <w:pPr>
              <w:spacing w:after="20"/>
            </w:pPr>
            <w:r/>
            <w:r>
              <w:rPr>
                <w:sz w:val="17"/>
              </w:rPr>
              <w:t>Obligatoria</w:t>
            </w:r>
          </w:p>
        </w:tc>
      </w:tr>
      <w:tr>
        <w:tc>
          <w:tcPr>
            <w:tcW w:type="dxa" w:w="1587"/>
          </w:tcPr>
          <w:p>
            <w:pPr>
              <w:spacing w:after="20"/>
            </w:pPr>
            <w:r/>
            <w:r>
              <w:rPr>
                <w:sz w:val="17"/>
              </w:rPr>
              <w:t>Resolución 1888 de 2025</w:t>
            </w:r>
          </w:p>
        </w:tc>
        <w:tc>
          <w:tcPr>
            <w:tcW w:type="dxa" w:w="1020"/>
          </w:tcPr>
          <w:p>
            <w:pPr>
              <w:spacing w:after="20"/>
            </w:pPr>
            <w:r/>
            <w:r>
              <w:rPr>
                <w:sz w:val="17"/>
              </w:rPr>
              <w:t>MinSalud</w:t>
            </w:r>
          </w:p>
        </w:tc>
        <w:tc>
          <w:tcPr>
            <w:tcW w:type="dxa" w:w="2835"/>
          </w:tcPr>
          <w:p>
            <w:pPr>
              <w:spacing w:after="20"/>
            </w:pPr>
            <w:r/>
            <w:r>
              <w:rPr>
                <w:sz w:val="17"/>
              </w:rPr>
              <w:t>Adopta el Resumen Digital de Atención (RDA) y el mecanismo de implementación de la interoperabilidad</w:t>
            </w:r>
          </w:p>
        </w:tc>
        <w:tc>
          <w:tcPr>
            <w:tcW w:type="dxa" w:w="1928"/>
          </w:tcPr>
          <w:p>
            <w:pPr>
              <w:spacing w:after="20"/>
            </w:pPr>
            <w:r/>
            <w:r>
              <w:rPr>
                <w:sz w:val="17"/>
              </w:rPr>
              <w:t>Los actores del artículo 2 de la Resolución 866 de 2021</w:t>
            </w:r>
          </w:p>
        </w:tc>
        <w:tc>
          <w:tcPr>
            <w:tcW w:type="dxa" w:w="1814"/>
          </w:tcPr>
          <w:p>
            <w:pPr>
              <w:spacing w:after="20"/>
            </w:pPr>
            <w:r/>
            <w:r>
              <w:rPr>
                <w:sz w:val="17"/>
              </w:rPr>
              <w:t>Obligatoria, con plazo de integración</w:t>
            </w:r>
          </w:p>
        </w:tc>
      </w:tr>
      <w:tr>
        <w:tc>
          <w:tcPr>
            <w:tcW w:type="dxa" w:w="1587"/>
          </w:tcPr>
          <w:p>
            <w:pPr>
              <w:spacing w:after="20"/>
            </w:pPr>
            <w:r/>
            <w:r>
              <w:rPr>
                <w:sz w:val="17"/>
              </w:rPr>
              <w:t>Resolución 2275 de 2023</w:t>
            </w:r>
          </w:p>
        </w:tc>
        <w:tc>
          <w:tcPr>
            <w:tcW w:type="dxa" w:w="1020"/>
          </w:tcPr>
          <w:p>
            <w:pPr>
              <w:spacing w:after="20"/>
            </w:pPr>
            <w:r/>
            <w:r>
              <w:rPr>
                <w:sz w:val="17"/>
              </w:rPr>
              <w:t>MinSalud</w:t>
            </w:r>
          </w:p>
        </w:tc>
        <w:tc>
          <w:tcPr>
            <w:tcW w:type="dxa" w:w="2835"/>
          </w:tcPr>
          <w:p>
            <w:pPr>
              <w:spacing w:after="20"/>
            </w:pPr>
            <w:r/>
            <w:r>
              <w:rPr>
                <w:sz w:val="17"/>
              </w:rPr>
              <w:t>RIPS como soporte de la factura electrónica de venta en salud</w:t>
            </w:r>
          </w:p>
        </w:tc>
        <w:tc>
          <w:tcPr>
            <w:tcW w:type="dxa" w:w="1928"/>
          </w:tcPr>
          <w:p>
            <w:pPr>
              <w:spacing w:after="20"/>
            </w:pPr>
            <w:r/>
            <w:r>
              <w:rPr>
                <w:sz w:val="17"/>
              </w:rPr>
              <w:t>Prestadores de servicios de salud</w:t>
            </w:r>
          </w:p>
        </w:tc>
        <w:tc>
          <w:tcPr>
            <w:tcW w:type="dxa" w:w="1814"/>
          </w:tcPr>
          <w:p>
            <w:pPr>
              <w:spacing w:after="20"/>
            </w:pPr>
            <w:r/>
            <w:r>
              <w:rPr>
                <w:sz w:val="17"/>
              </w:rPr>
              <w:t>Obligatoria: sustenta P8</w:t>
            </w:r>
          </w:p>
        </w:tc>
      </w:tr>
    </w:tbl>
    <w:p>
      <w:pPr>
        <w:spacing w:after="40"/>
      </w:pPr>
    </w:p>
    <w:tbl>
      <w:tblPr>
        <w:tblW w:type="auto" w:w="0"/>
        <w:tblLook w:firstColumn="1" w:firstRow="1" w:lastColumn="0" w:lastRow="0" w:noHBand="0" w:noVBand="1" w:val="04A0"/>
      </w:tblPr>
      <w:tblGrid>
        <w:gridCol w:w="9406"/>
      </w:tblGrid>
      <w:tr>
        <w:tc>
          <w:tcPr>
            <w:tcW w:type="dxa" w:w="9406"/>
            <w:shd w:val="clear" w:color="auto" w:fill="EEF3FA"/>
            <w:tcBorders>
              <w:top w:val="nil"/>
              <w:bottom w:val="nil"/>
              <w:right w:val="nil"/>
              <w:left w:val="single" w:sz="24" w:color="C2622C"/>
            </w:tcBorders>
          </w:tcPr>
          <w:p>
            <w:r>
              <w:rPr>
                <w:b/>
                <w:sz w:val="20"/>
              </w:rPr>
              <w:t>Verifiquen la vigencia.</w:t>
            </w:r>
            <w:r>
              <w:rPr>
                <w:sz w:val="20"/>
              </w:rPr>
              <w:t xml:space="preserve"> Esta tabla se verificó en septiembre de 2026. La normativa cambia: antes de citar una norma, confirmen en el normograma del MinTIC o del Ministerio de Salud que sigue vigente y si fue modificada. Citen la norma, no un blog que la resume. Si su organización es de otro sector —banca, gobierno, servicios—, la normativa sectorial es otra: identifiquen la de su sector.</w:t>
            </w:r>
          </w:p>
        </w:tc>
      </w:tr>
    </w:tbl>
    <w:p>
      <w:pPr>
        <w:spacing w:after="40"/>
      </w:pPr>
    </w:p>
    <w:p>
      <w:pPr>
        <w:pStyle w:val="Heading1"/>
      </w:pPr>
      <w:r>
        <w:t>4. Cómo se ve bien hecho</w:t>
      </w:r>
    </w:p>
    <w:tbl>
      <w:tblPr>
        <w:tblW w:type="auto" w:w="0"/>
        <w:jc w:val="center"/>
        <w:tblLook w:firstColumn="1" w:firstRow="1" w:lastColumn="0" w:lastRow="0" w:noHBand="0" w:noVBand="1" w:val="04A0"/>
        <w:tblBorders>
          <w:top w:val="single" w:sz="4" w:color="B8C4D8"/>
          <w:left w:val="single" w:sz="4" w:color="B8C4D8"/>
          <w:bottom w:val="single" w:sz="4" w:color="B8C4D8"/>
          <w:right w:val="single" w:sz="4" w:color="B8C4D8"/>
          <w:insideH w:val="single" w:sz="4" w:color="B8C4D8"/>
          <w:insideV w:val="single" w:sz="4" w:color="B8C4D8"/>
        </w:tblBorders>
      </w:tblPr>
      <w:tblGrid>
        <w:gridCol w:w="2351"/>
        <w:gridCol w:w="2351"/>
        <w:gridCol w:w="2351"/>
        <w:gridCol w:w="2351"/>
      </w:tblGrid>
      <w:tr>
        <w:trPr>
          <w:tblHeader w:val="true"/>
        </w:trPr>
        <w:tc>
          <w:tcPr>
            <w:tcW w:type="dxa" w:w="1474"/>
            <w:shd w:val="clear" w:color="auto" w:fill="DCE6F2"/>
          </w:tcPr>
          <w:p>
            <w:pPr>
              <w:spacing w:after="20"/>
            </w:pPr>
            <w:r/>
            <w:r>
              <w:rPr>
                <w:b/>
                <w:sz w:val="18"/>
              </w:rPr>
              <w:t>Campo</w:t>
            </w:r>
          </w:p>
        </w:tc>
        <w:tc>
          <w:tcPr>
            <w:tcW w:type="dxa" w:w="2381"/>
            <w:shd w:val="clear" w:color="auto" w:fill="DCE6F2"/>
          </w:tcPr>
          <w:p>
            <w:pPr>
              <w:spacing w:after="20"/>
            </w:pPr>
            <w:r/>
            <w:r>
              <w:rPr>
                <w:b/>
                <w:sz w:val="18"/>
              </w:rPr>
              <w:t>Así no</w:t>
            </w:r>
          </w:p>
        </w:tc>
        <w:tc>
          <w:tcPr>
            <w:tcW w:type="dxa" w:w="3175"/>
            <w:shd w:val="clear" w:color="auto" w:fill="DCE6F2"/>
          </w:tcPr>
          <w:p>
            <w:pPr>
              <w:spacing w:after="20"/>
            </w:pPr>
            <w:r/>
            <w:r>
              <w:rPr>
                <w:b/>
                <w:sz w:val="18"/>
              </w:rPr>
              <w:t>Así sí</w:t>
            </w:r>
          </w:p>
        </w:tc>
        <w:tc>
          <w:tcPr>
            <w:tcW w:type="dxa" w:w="2154"/>
            <w:shd w:val="clear" w:color="auto" w:fill="DCE6F2"/>
          </w:tcPr>
          <w:p>
            <w:pPr>
              <w:spacing w:after="20"/>
            </w:pPr>
            <w:r/>
            <w:r>
              <w:rPr>
                <w:b/>
                <w:sz w:val="18"/>
              </w:rPr>
              <w:t>Por qué</w:t>
            </w:r>
          </w:p>
        </w:tc>
      </w:tr>
      <w:tr>
        <w:tc>
          <w:tcPr>
            <w:tcW w:type="dxa" w:w="1474"/>
          </w:tcPr>
          <w:p>
            <w:pPr>
              <w:spacing w:after="20"/>
            </w:pPr>
            <w:r/>
            <w:r>
              <w:rPr>
                <w:sz w:val="18"/>
              </w:rPr>
              <w:t>Comparativo A</w:t>
            </w:r>
          </w:p>
        </w:tc>
        <w:tc>
          <w:tcPr>
            <w:tcW w:type="dxa" w:w="2381"/>
          </w:tcPr>
          <w:p>
            <w:pPr>
              <w:spacing w:after="20"/>
            </w:pPr>
            <w:r/>
            <w:r>
              <w:rPr>
                <w:sz w:val="18"/>
              </w:rPr>
              <w:t>«COBIT es un marco de gobierno de TI de ISACA. TOGAF es un marco de arquitectura…»</w:t>
            </w:r>
          </w:p>
        </w:tc>
        <w:tc>
          <w:tcPr>
            <w:tcW w:type="dxa" w:w="3175"/>
          </w:tcPr>
          <w:p>
            <w:pPr>
              <w:spacing w:after="20"/>
            </w:pPr>
            <w:r/>
            <w:r>
              <w:rPr>
                <w:sz w:val="18"/>
              </w:rPr>
              <w:t>«COBIT dice que debe existir una arquitectura gestionada (APO03); TOGAF dice quién la gobierna: el ARB ejecuta APO03.03 y APO03.04.»</w:t>
            </w:r>
          </w:p>
        </w:tc>
        <w:tc>
          <w:tcPr>
            <w:tcW w:type="dxa" w:w="2154"/>
          </w:tcPr>
          <w:p>
            <w:pPr>
              <w:spacing w:after="20"/>
            </w:pPr>
            <w:r/>
            <w:r>
              <w:rPr>
                <w:sz w:val="18"/>
              </w:rPr>
              <w:t>Un comparativo contrasta; no describe por separado.</w:t>
            </w:r>
          </w:p>
        </w:tc>
      </w:tr>
      <w:tr>
        <w:tc>
          <w:tcPr>
            <w:tcW w:type="dxa" w:w="1474"/>
          </w:tcPr>
          <w:p>
            <w:pPr>
              <w:spacing w:after="20"/>
            </w:pPr>
            <w:r/>
            <w:r>
              <w:rPr>
                <w:sz w:val="18"/>
              </w:rPr>
              <w:t>Comparativo B</w:t>
            </w:r>
          </w:p>
        </w:tc>
        <w:tc>
          <w:tcPr>
            <w:tcW w:type="dxa" w:w="2381"/>
          </w:tcPr>
          <w:p>
            <w:pPr>
              <w:spacing w:after="20"/>
            </w:pPr>
            <w:r/>
            <w:r>
              <w:rPr>
                <w:sz w:val="18"/>
              </w:rPr>
              <w:t>Lista de diez normas sin decir si aplican</w:t>
            </w:r>
          </w:p>
        </w:tc>
        <w:tc>
          <w:tcPr>
            <w:tcW w:type="dxa" w:w="3175"/>
          </w:tcPr>
          <w:p>
            <w:pPr>
              <w:spacing w:after="20"/>
            </w:pPr>
            <w:r/>
            <w:r>
              <w:rPr>
                <w:sz w:val="18"/>
              </w:rPr>
              <w:t>«El MRAE no nos obliga porque somos una IPS privada; la Ley 2015 de 2020 sí, y sustenta el principio P2.»</w:t>
            </w:r>
          </w:p>
        </w:tc>
        <w:tc>
          <w:tcPr>
            <w:tcW w:type="dxa" w:w="2154"/>
          </w:tcPr>
          <w:p>
            <w:pPr>
              <w:spacing w:after="20"/>
            </w:pPr>
            <w:r/>
            <w:r>
              <w:rPr>
                <w:sz w:val="18"/>
              </w:rPr>
              <w:t>La pregunta es qué obliga a su organización y qué cambia en su gobierno.</w:t>
            </w:r>
          </w:p>
        </w:tc>
      </w:tr>
      <w:tr>
        <w:tc>
          <w:tcPr>
            <w:tcW w:type="dxa" w:w="1474"/>
          </w:tcPr>
          <w:p>
            <w:pPr>
              <w:spacing w:after="20"/>
            </w:pPr>
            <w:r/>
            <w:r>
              <w:rPr>
                <w:sz w:val="18"/>
              </w:rPr>
              <w:t>Fuentes</w:t>
            </w:r>
          </w:p>
        </w:tc>
        <w:tc>
          <w:tcPr>
            <w:tcW w:type="dxa" w:w="2381"/>
          </w:tcPr>
          <w:p>
            <w:pPr>
              <w:spacing w:after="20"/>
            </w:pPr>
            <w:r/>
            <w:r>
              <w:rPr>
                <w:sz w:val="18"/>
              </w:rPr>
              <w:t>Un blog que resume la norma</w:t>
            </w:r>
          </w:p>
        </w:tc>
        <w:tc>
          <w:tcPr>
            <w:tcW w:type="dxa" w:w="3175"/>
          </w:tcPr>
          <w:p>
            <w:pPr>
              <w:spacing w:after="20"/>
            </w:pPr>
            <w:r/>
            <w:r>
              <w:rPr>
                <w:sz w:val="18"/>
              </w:rPr>
              <w:t>La norma en el normograma oficial, en APA 7</w:t>
            </w:r>
          </w:p>
        </w:tc>
        <w:tc>
          <w:tcPr>
            <w:tcW w:type="dxa" w:w="2154"/>
          </w:tcPr>
          <w:p>
            <w:pPr>
              <w:spacing w:after="20"/>
            </w:pPr>
            <w:r/>
            <w:r>
              <w:rPr>
                <w:sz w:val="18"/>
              </w:rPr>
              <w:t>La norma es la fuente primaria.</w:t>
            </w:r>
          </w:p>
        </w:tc>
      </w:tr>
    </w:tbl>
    <w:p>
      <w:pPr>
        <w:spacing w:after="40"/>
      </w:pPr>
    </w:p>
    <w:p>
      <w:pPr>
        <w:pStyle w:val="Heading1"/>
      </w:pPr>
      <w:r>
        <w:t>Referencias</w:t>
      </w:r>
    </w:p>
    <w:p>
      <w:r>
        <w:t xml:space="preserve">Axelos. (2019). </w:t>
      </w:r>
      <w:r>
        <w:rPr>
          <w:i/>
        </w:rPr>
        <w:t>ITIL® foundation: ITIL 4 edition</w:t>
      </w:r>
      <w:r>
        <w:t>. TSO.</w:t>
      </w:r>
    </w:p>
    <w:p>
      <w:r>
        <w:t xml:space="preserve">Colombia, Congreso de la República. (2012). </w:t>
      </w:r>
      <w:r>
        <w:rPr>
          <w:i/>
        </w:rPr>
        <w:t>Ley 1581 de 2012, por la cual se dictan disposiciones generales para la protección de datos personales</w:t>
      </w:r>
      <w:r>
        <w:t>.</w:t>
      </w:r>
    </w:p>
    <w:p>
      <w:r>
        <w:t xml:space="preserve">Colombia, Congreso de la República. (2020). </w:t>
      </w:r>
      <w:r>
        <w:rPr>
          <w:i/>
        </w:rPr>
        <w:t>Ley 2015 de 2020, por medio de la cual se crea la historia clínica electrónica interoperable</w:t>
      </w:r>
      <w:r>
        <w:t>.</w:t>
      </w:r>
    </w:p>
    <w:p>
      <w:r>
        <w:t xml:space="preserve">Hohpe, G. (2020). </w:t>
      </w:r>
      <w:r>
        <w:rPr>
          <w:i/>
        </w:rPr>
        <w:t>The software architect elevator: Redefining the architect's role in the digital enterprise</w:t>
      </w:r>
      <w:r>
        <w:t>. O'Reilly Media.</w:t>
      </w:r>
    </w:p>
    <w:p>
      <w:r>
        <w:t xml:space="preserve">ISACA. (2018). </w:t>
      </w:r>
      <w:r>
        <w:rPr>
          <w:i/>
        </w:rPr>
        <w:t>COBIT® 2019 framework: Governance and management objectives</w:t>
      </w:r>
      <w:r>
        <w:t>. ISACA.</w:t>
      </w:r>
    </w:p>
    <w:p>
      <w:r>
        <w:t xml:space="preserve">Ministerio de Salud y Protección Social. (2021). </w:t>
      </w:r>
      <w:r>
        <w:rPr>
          <w:i/>
        </w:rPr>
        <w:t>Resolución 866 de 2021</w:t>
      </w:r>
      <w:r>
        <w:t>.</w:t>
      </w:r>
    </w:p>
    <w:p>
      <w:r>
        <w:t xml:space="preserve">Ministerio de Salud y Protección Social. (2023). </w:t>
      </w:r>
      <w:r>
        <w:rPr>
          <w:i/>
        </w:rPr>
        <w:t>Resolución 2275 de 2023</w:t>
      </w:r>
      <w:r>
        <w:t>.</w:t>
      </w:r>
    </w:p>
    <w:p>
      <w:r>
        <w:t xml:space="preserve">Ministerio de Salud y Protección Social. (2025). </w:t>
      </w:r>
      <w:r>
        <w:rPr>
          <w:i/>
        </w:rPr>
        <w:t>Resolución 1888 de 2025, por medio de la cual se adopta el Resumen Digital de Atención en Salud (RDA)</w:t>
      </w:r>
      <w:r>
        <w:t>.</w:t>
      </w:r>
    </w:p>
    <w:p>
      <w:r>
        <w:t xml:space="preserve">Ministerio de Tecnologías de la Información y las Comunicaciones. (2022). </w:t>
      </w:r>
      <w:r>
        <w:rPr>
          <w:i/>
        </w:rPr>
        <w:t>Decreto 767 de 2022</w:t>
      </w:r>
      <w:r>
        <w:t>.</w:t>
      </w:r>
    </w:p>
    <w:p>
      <w:r>
        <w:t xml:space="preserve">Ministerio de Tecnologías de la Información y las Comunicaciones. (2023). </w:t>
      </w:r>
      <w:r>
        <w:rPr>
          <w:i/>
        </w:rPr>
        <w:t>Resolución 1978 de 2023, por la cual se adopta el Marco de Referencia de Arquitectura Empresarial</w:t>
      </w:r>
      <w:r>
        <w:t>.</w:t>
      </w:r>
    </w:p>
    <w:p>
      <w:r>
        <w:t xml:space="preserve">The Open Group. (2022). </w:t>
      </w:r>
      <w:r>
        <w:rPr>
          <w:i/>
        </w:rPr>
        <w:t>The TOGAF® standard, 10th edition: Enterprise architecture capability and governance</w:t>
      </w:r>
      <w:r>
        <w:t>. Van Haren Publishing.</w:t>
      </w:r>
    </w:p>
    <w:p>
      <w:r>
        <w:t xml:space="preserve">Vega Fernández, C. A. (2026). </w:t>
      </w:r>
      <w:r>
        <w:rPr>
          <w:i/>
        </w:rPr>
        <w:t>Red Salud Andina: dossier del caso de respaldo</w:t>
      </w:r>
      <w:r>
        <w:t xml:space="preserve"> [Material docente]. Universidad de La Sabana.</w:t>
      </w:r>
    </w:p>
    <w:sectPr w:rsidR="00FC693F" w:rsidRPr="0006063C" w:rsidSect="00034616">
      <w:footerReference w:type="default" r:id="rId9"/>
      <w:pgSz w:w="12240" w:h="15840"/>
      <w:pgMar w:top="1247" w:right="1417" w:bottom="124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color w:val="55606E"/>
        <w:sz w:val="18"/>
      </w:rP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9" w:lineRule="auto"/>
    </w:pPr>
    <w:rPr>
      <w:rFonts w:ascii="Cambria" w:hAnsi="Cambria" w:eastAsia="Cambria"/>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80"/>
      <w:outlineLvl w:val="0"/>
    </w:pPr>
    <w:rPr>
      <w:rFonts w:asciiTheme="" w:eastAsiaTheme="majorEastAsia" w:hAnsiTheme="majorHAnsi" w:cstheme="majorBidi" w:ascii="Calibri" w:hAnsi="Calibri"/>
      <w:b/>
      <w:bCs/>
      <w:color w:val="1F3A5F"/>
      <w:sz w:val="30"/>
      <w:szCs w:val="28"/>
    </w:rPr>
  </w:style>
  <w:style w:type="paragraph" w:styleId="Heading2">
    <w:name w:val="heading 2"/>
    <w:basedOn w:val="Normal"/>
    <w:next w:val="Normal"/>
    <w:link w:val="Heading2Char"/>
    <w:uiPriority w:val="9"/>
    <w:unhideWhenUsed/>
    <w:qFormat/>
    <w:rsid w:val="00FC693F"/>
    <w:pPr>
      <w:keepNext/>
      <w:keepLines/>
      <w:spacing w:before="200" w:after="80"/>
      <w:outlineLvl w:val="1"/>
    </w:pPr>
    <w:rPr>
      <w:rFonts w:asciiTheme="" w:eastAsiaTheme="majorEastAsia" w:hAnsiTheme="majorHAnsi" w:cstheme="majorBidi" w:ascii="Calibri" w:hAnsi="Calibri"/>
      <w:b/>
      <w:bCs/>
      <w:color w:val="345A8A"/>
      <w:sz w:val="25"/>
      <w:szCs w:val="26"/>
    </w:rPr>
  </w:style>
  <w:style w:type="paragraph" w:styleId="Heading3">
    <w:name w:val="heading 3"/>
    <w:basedOn w:val="Normal"/>
    <w:next w:val="Normal"/>
    <w:link w:val="Heading3Char"/>
    <w:uiPriority w:val="9"/>
    <w:unhideWhenUsed/>
    <w:qFormat/>
    <w:rsid w:val="00FC693F"/>
    <w:pPr>
      <w:keepNext/>
      <w:keepLines/>
      <w:spacing w:before="200" w:after="80"/>
      <w:outlineLvl w:val="2"/>
    </w:pPr>
    <w:rPr>
      <w:rFonts w:asciiTheme="" w:eastAsiaTheme="majorEastAsia" w:hAnsiTheme="majorHAnsi" w:cstheme="majorBidi" w:ascii="Calibri" w:hAnsi="Calibri"/>
      <w:b/>
      <w:bCs/>
      <w:color w:val="345A8A"/>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