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1F3A5F"/>
          <w:sz w:val="40"/>
        </w:rPr>
        <w:t>Guía de la Actividad 4.1</w:t>
      </w:r>
    </w:p>
    <w:p>
      <w:r>
        <w:rPr>
          <w:color w:val="345A8A"/>
          <w:sz w:val="25"/>
        </w:rPr>
        <w:t>La ficha de contexto sectorial: tendencias, dos casos reales verificados y la normativa que fija el calendario</w:t>
      </w:r>
    </w:p>
    <w:p>
      <w:pPr>
        <w:spacing w:after="20"/>
      </w:pPr>
      <w:r>
        <w:rPr>
          <w:color w:val="55606E"/>
          <w:sz w:val="20"/>
        </w:rPr>
        <w:t>Curso Arquitectura Empresarial · Maestría en Ingeniería de Software · Universidad de La Sabana</w:t>
      </w:r>
    </w:p>
    <w:p>
      <w:pPr>
        <w:spacing w:after="20"/>
      </w:pPr>
      <w:r>
        <w:rPr>
          <w:color w:val="55606E"/>
          <w:sz w:val="20"/>
        </w:rPr>
        <w:t>Unidad 4 — Transformación Empresarial y Roadmaps Arquitectónicos</w:t>
      </w:r>
    </w:p>
    <w:p>
      <w:pPr>
        <w:spacing w:after="20"/>
      </w:pPr>
      <w:r>
        <w:rPr>
          <w:color w:val="55606E"/>
          <w:sz w:val="20"/>
        </w:rPr>
        <w:t>Octubre de 2026</w:t>
      </w:r>
    </w:p>
    <w:p/>
    <w:p>
      <w:pPr>
        <w:pStyle w:val="Heading1"/>
      </w:pPr>
      <w:r>
        <w:t>1. Qué pide la actividad</w:t>
      </w:r>
    </w:p>
    <w:p>
      <w:r>
        <w:t xml:space="preserve">La Actividad 4.1 es </w:t>
      </w:r>
      <w:r>
        <w:rPr>
          <w:b/>
        </w:rPr>
        <w:t>grupal</w:t>
      </w:r>
      <w:r>
        <w:t xml:space="preserve"> (a diferencia de la 3.1), formativa y sin nota; la retroalimentación se da en la sesión sincrónica con el F-36. Pide una </w:t>
      </w:r>
      <w:r>
        <w:rPr>
          <w:b/>
        </w:rPr>
        <w:t>ficha de contexto sectorial de 1 a 2 páginas</w:t>
      </w:r>
      <w:r>
        <w:t xml:space="preserve">: las tendencias de transformación digital del sector de la organización elegida, con </w:t>
      </w:r>
      <w:r>
        <w:rPr>
          <w:b/>
        </w:rPr>
        <w:t>al menos dos casos reales</w:t>
      </w:r>
      <w:r>
        <w:t xml:space="preserve"> de organizaciones que hayan liderado procesos de transformación arquitectónica, citados en APA 7.</w:t>
      </w:r>
    </w:p>
    <w:p>
      <w:r>
        <w:rPr>
          <w:b/>
        </w:rPr>
        <w:t>Para qué sirve después.</w:t>
      </w:r>
      <w:r>
        <w:t xml:space="preserve"> La ficha no es un trabajo suelto: sus casos entran a la sección de casos de la Actividad 4.2, que se califica en el criterio «Gestión del cambio y casos sectoriales» (1,0). Allí cada caso tiene que </w:t>
      </w:r>
      <w:r>
        <w:rPr>
          <w:b/>
        </w:rPr>
        <w:t>sostener una decisión del roadmap</w:t>
      </w:r>
      <w:r>
        <w:t>. Busquen desde ya casos que se parezcan al problema de su organización, no los más famosos.</w:t>
      </w:r>
    </w:p>
    <w:p>
      <w:r>
        <w:rPr>
          <w:b/>
        </w:rPr>
        <w:t>Una lente para leer los casos.</w:t>
      </w:r>
      <w:r>
        <w:t xml:space="preserve"> Weill y Woerner (2018), capítulos 4 a 6, advierten que el error más común es empezar por la tecnología en lugar del modelo de negocio. Al leer un caso, pregúntense qué cambió en la forma de operar, no solo qué sistema se instaló.</w:t>
      </w:r>
    </w:p>
    <w:p>
      <w:pPr>
        <w:pStyle w:val="Heading1"/>
      </w:pPr>
      <w:r>
        <w:t>2. Dónde buscar</w:t>
      </w:r>
    </w:p>
    <w:tbl>
      <w:tblPr>
        <w:tblW w:type="auto" w:w="0"/>
        <w:jc w:val="center"/>
        <w:tblLook w:firstColumn="1" w:firstRow="1" w:lastColumn="0" w:lastRow="0" w:noHBand="0" w:noVBand="1" w:val="04A0"/>
        <w:tblBorders>
          <w:top w:val="single" w:sz="4" w:color="B8C4D8"/>
          <w:left w:val="single" w:sz="4" w:color="B8C4D8"/>
          <w:bottom w:val="single" w:sz="4" w:color="B8C4D8"/>
          <w:right w:val="single" w:sz="4" w:color="B8C4D8"/>
          <w:insideH w:val="single" w:sz="4" w:color="B8C4D8"/>
          <w:insideV w:val="single" w:sz="4" w:color="B8C4D8"/>
        </w:tblBorders>
      </w:tblPr>
      <w:tblGrid>
        <w:gridCol w:w="2351"/>
        <w:gridCol w:w="2351"/>
        <w:gridCol w:w="2351"/>
        <w:gridCol w:w="2351"/>
      </w:tblGrid>
      <w:tr>
        <w:trPr>
          <w:tblHeader w:val="true"/>
        </w:trPr>
        <w:tc>
          <w:tcPr>
            <w:tcW w:type="dxa" w:w="1814"/>
            <w:shd w:val="clear" w:color="auto" w:fill="DCE6F2"/>
          </w:tcPr>
          <w:p>
            <w:pPr>
              <w:spacing w:after="20"/>
            </w:pPr>
            <w:r/>
            <w:r>
              <w:rPr>
                <w:b/>
                <w:sz w:val="18"/>
              </w:rPr>
              <w:t>Tipo de fuente</w:t>
            </w:r>
          </w:p>
        </w:tc>
        <w:tc>
          <w:tcPr>
            <w:tcW w:type="dxa" w:w="2608"/>
            <w:shd w:val="clear" w:color="auto" w:fill="DCE6F2"/>
          </w:tcPr>
          <w:p>
            <w:pPr>
              <w:spacing w:after="20"/>
            </w:pPr>
            <w:r/>
            <w:r>
              <w:rPr>
                <w:b/>
                <w:sz w:val="18"/>
              </w:rPr>
              <w:t>Ejemplos</w:t>
            </w:r>
          </w:p>
        </w:tc>
        <w:tc>
          <w:tcPr>
            <w:tcW w:type="dxa" w:w="2268"/>
            <w:shd w:val="clear" w:color="auto" w:fill="DCE6F2"/>
          </w:tcPr>
          <w:p>
            <w:pPr>
              <w:spacing w:after="20"/>
            </w:pPr>
            <w:r/>
            <w:r>
              <w:rPr>
                <w:b/>
                <w:sz w:val="18"/>
              </w:rPr>
              <w:t>Para qué sirve</w:t>
            </w:r>
          </w:p>
        </w:tc>
        <w:tc>
          <w:tcPr>
            <w:tcW w:type="dxa" w:w="2494"/>
            <w:shd w:val="clear" w:color="auto" w:fill="DCE6F2"/>
          </w:tcPr>
          <w:p>
            <w:pPr>
              <w:spacing w:after="20"/>
            </w:pPr>
            <w:r/>
            <w:r>
              <w:rPr>
                <w:b/>
                <w:sz w:val="18"/>
              </w:rPr>
              <w:t>Cuidado</w:t>
            </w:r>
          </w:p>
        </w:tc>
      </w:tr>
      <w:tr>
        <w:tc>
          <w:tcPr>
            <w:tcW w:type="dxa" w:w="1814"/>
          </w:tcPr>
          <w:p>
            <w:pPr>
              <w:spacing w:after="20"/>
            </w:pPr>
            <w:r/>
            <w:r>
              <w:rPr>
                <w:sz w:val="18"/>
              </w:rPr>
              <w:t>Consultoras y revistas de gestión</w:t>
            </w:r>
          </w:p>
        </w:tc>
        <w:tc>
          <w:tcPr>
            <w:tcW w:type="dxa" w:w="2608"/>
          </w:tcPr>
          <w:p>
            <w:pPr>
              <w:spacing w:after="20"/>
            </w:pPr>
            <w:r/>
            <w:r>
              <w:rPr>
                <w:sz w:val="18"/>
              </w:rPr>
              <w:t>Gartner, McKinsey, MIT Sloan Management Review, Harvard Business Review</w:t>
            </w:r>
          </w:p>
        </w:tc>
        <w:tc>
          <w:tcPr>
            <w:tcW w:type="dxa" w:w="2268"/>
          </w:tcPr>
          <w:p>
            <w:pPr>
              <w:spacing w:after="20"/>
            </w:pPr>
            <w:r/>
            <w:r>
              <w:rPr>
                <w:sz w:val="18"/>
              </w:rPr>
              <w:t>Tendencias del sector y marcos para leerlas</w:t>
            </w:r>
          </w:p>
        </w:tc>
        <w:tc>
          <w:tcPr>
            <w:tcW w:type="dxa" w:w="2494"/>
          </w:tcPr>
          <w:p>
            <w:pPr>
              <w:spacing w:after="20"/>
            </w:pPr>
            <w:r/>
            <w:r>
              <w:rPr>
                <w:sz w:val="18"/>
              </w:rPr>
              <w:t>Muchas piden suscripción; citen solo lo que pudieron leer</w:t>
            </w:r>
          </w:p>
        </w:tc>
      </w:tr>
      <w:tr>
        <w:tc>
          <w:tcPr>
            <w:tcW w:type="dxa" w:w="1814"/>
          </w:tcPr>
          <w:p>
            <w:pPr>
              <w:spacing w:after="20"/>
            </w:pPr>
            <w:r/>
            <w:r>
              <w:rPr>
                <w:sz w:val="18"/>
              </w:rPr>
              <w:t>Reportes de las organizaciones</w:t>
            </w:r>
          </w:p>
        </w:tc>
        <w:tc>
          <w:tcPr>
            <w:tcW w:type="dxa" w:w="2608"/>
          </w:tcPr>
          <w:p>
            <w:pPr>
              <w:spacing w:after="20"/>
            </w:pPr>
            <w:r/>
            <w:r>
              <w:rPr>
                <w:sz w:val="18"/>
              </w:rPr>
              <w:t>Informes anuales, memorias de sostenibilidad, sitios de prensa oficiales</w:t>
            </w:r>
          </w:p>
        </w:tc>
        <w:tc>
          <w:tcPr>
            <w:tcW w:type="dxa" w:w="2268"/>
          </w:tcPr>
          <w:p>
            <w:pPr>
              <w:spacing w:after="20"/>
            </w:pPr>
            <w:r/>
            <w:r>
              <w:rPr>
                <w:sz w:val="18"/>
              </w:rPr>
              <w:t>Qué hizo la organización y en cuánto tiempo</w:t>
            </w:r>
          </w:p>
        </w:tc>
        <w:tc>
          <w:tcPr>
            <w:tcW w:type="dxa" w:w="2494"/>
          </w:tcPr>
          <w:p>
            <w:pPr>
              <w:spacing w:after="20"/>
            </w:pPr>
            <w:r/>
            <w:r>
              <w:rPr>
                <w:sz w:val="18"/>
              </w:rPr>
              <w:t>Los resultados son autorreportados: díganlo</w:t>
            </w:r>
          </w:p>
        </w:tc>
      </w:tr>
      <w:tr>
        <w:tc>
          <w:tcPr>
            <w:tcW w:type="dxa" w:w="1814"/>
          </w:tcPr>
          <w:p>
            <w:pPr>
              <w:spacing w:after="20"/>
            </w:pPr>
            <w:r/>
            <w:r>
              <w:rPr>
                <w:sz w:val="18"/>
              </w:rPr>
              <w:t>Publicaciones académicas</w:t>
            </w:r>
          </w:p>
        </w:tc>
        <w:tc>
          <w:tcPr>
            <w:tcW w:type="dxa" w:w="2608"/>
          </w:tcPr>
          <w:p>
            <w:pPr>
              <w:spacing w:after="20"/>
            </w:pPr>
            <w:r/>
            <w:r>
              <w:rPr>
                <w:sz w:val="18"/>
              </w:rPr>
              <w:t>Revistas indexadas y actas de congresos del sector</w:t>
            </w:r>
          </w:p>
        </w:tc>
        <w:tc>
          <w:tcPr>
            <w:tcW w:type="dxa" w:w="2268"/>
          </w:tcPr>
          <w:p>
            <w:pPr>
              <w:spacing w:after="20"/>
            </w:pPr>
            <w:r/>
            <w:r>
              <w:rPr>
                <w:sz w:val="18"/>
              </w:rPr>
              <w:t>Resultados medidos con método</w:t>
            </w:r>
          </w:p>
        </w:tc>
        <w:tc>
          <w:tcPr>
            <w:tcW w:type="dxa" w:w="2494"/>
          </w:tcPr>
          <w:p>
            <w:pPr>
              <w:spacing w:after="20"/>
            </w:pPr>
            <w:r/>
            <w:r>
              <w:rPr>
                <w:sz w:val="18"/>
              </w:rPr>
              <w:t>Lean el resumen y los resultados, no solo el título</w:t>
            </w:r>
          </w:p>
        </w:tc>
      </w:tr>
      <w:tr>
        <w:tc>
          <w:tcPr>
            <w:tcW w:type="dxa" w:w="1814"/>
          </w:tcPr>
          <w:p>
            <w:pPr>
              <w:spacing w:after="20"/>
            </w:pPr>
            <w:r/>
            <w:r>
              <w:rPr>
                <w:sz w:val="18"/>
              </w:rPr>
              <w:t>Certificaciones y acreditaciones</w:t>
            </w:r>
          </w:p>
        </w:tc>
        <w:tc>
          <w:tcPr>
            <w:tcW w:type="dxa" w:w="2608"/>
          </w:tcPr>
          <w:p>
            <w:pPr>
              <w:spacing w:after="20"/>
            </w:pPr>
            <w:r/>
            <w:r>
              <w:rPr>
                <w:sz w:val="18"/>
              </w:rPr>
              <w:t>En salud, los niveles de madurez digital certificados por terceros</w:t>
            </w:r>
          </w:p>
        </w:tc>
        <w:tc>
          <w:tcPr>
            <w:tcW w:type="dxa" w:w="2268"/>
          </w:tcPr>
          <w:p>
            <w:pPr>
              <w:spacing w:after="20"/>
            </w:pPr>
            <w:r/>
            <w:r>
              <w:rPr>
                <w:sz w:val="18"/>
              </w:rPr>
              <w:t>Evidencia externa de un avance</w:t>
            </w:r>
          </w:p>
        </w:tc>
        <w:tc>
          <w:tcPr>
            <w:tcW w:type="dxa" w:w="2494"/>
          </w:tcPr>
          <w:p>
            <w:pPr>
              <w:spacing w:after="20"/>
            </w:pPr>
            <w:r/>
            <w:r>
              <w:rPr>
                <w:sz w:val="18"/>
              </w:rPr>
              <w:t>Verifiquen el año y si sigue vigente</w:t>
            </w:r>
          </w:p>
        </w:tc>
      </w:tr>
      <w:tr>
        <w:tc>
          <w:tcPr>
            <w:tcW w:type="dxa" w:w="1814"/>
          </w:tcPr>
          <w:p>
            <w:pPr>
              <w:spacing w:after="20"/>
            </w:pPr>
            <w:r/>
            <w:r>
              <w:rPr>
                <w:sz w:val="18"/>
              </w:rPr>
              <w:t>Prensa sectorial de calidad</w:t>
            </w:r>
          </w:p>
        </w:tc>
        <w:tc>
          <w:tcPr>
            <w:tcW w:type="dxa" w:w="2608"/>
          </w:tcPr>
          <w:p>
            <w:pPr>
              <w:spacing w:after="20"/>
            </w:pPr>
            <w:r/>
            <w:r>
              <w:rPr>
                <w:sz w:val="18"/>
              </w:rPr>
              <w:t>Medios especializados del sector</w:t>
            </w:r>
          </w:p>
        </w:tc>
        <w:tc>
          <w:tcPr>
            <w:tcW w:type="dxa" w:w="2268"/>
          </w:tcPr>
          <w:p>
            <w:pPr>
              <w:spacing w:after="20"/>
            </w:pPr>
            <w:r/>
            <w:r>
              <w:rPr>
                <w:sz w:val="18"/>
              </w:rPr>
              <w:t>Hechos recientes y contexto local</w:t>
            </w:r>
          </w:p>
        </w:tc>
        <w:tc>
          <w:tcPr>
            <w:tcW w:type="dxa" w:w="2494"/>
          </w:tcPr>
          <w:p>
            <w:pPr>
              <w:spacing w:after="20"/>
            </w:pPr>
            <w:r/>
            <w:r>
              <w:rPr>
                <w:sz w:val="18"/>
              </w:rPr>
              <w:t>Distingan la noticia del comunicado copiado</w:t>
            </w:r>
          </w:p>
        </w:tc>
      </w:tr>
      <w:tr>
        <w:tc>
          <w:tcPr>
            <w:tcW w:type="dxa" w:w="1814"/>
          </w:tcPr>
          <w:p>
            <w:pPr>
              <w:spacing w:after="20"/>
            </w:pPr>
            <w:r/>
            <w:r>
              <w:rPr>
                <w:sz w:val="18"/>
              </w:rPr>
              <w:t>Normogramas oficiales</w:t>
            </w:r>
          </w:p>
        </w:tc>
        <w:tc>
          <w:tcPr>
            <w:tcW w:type="dxa" w:w="2608"/>
          </w:tcPr>
          <w:p>
            <w:pPr>
              <w:spacing w:after="20"/>
            </w:pPr>
            <w:r/>
            <w:r>
              <w:rPr>
                <w:sz w:val="18"/>
              </w:rPr>
              <w:t>Ministerios, superintendencias, gacetas oficiales</w:t>
            </w:r>
          </w:p>
        </w:tc>
        <w:tc>
          <w:tcPr>
            <w:tcW w:type="dxa" w:w="2268"/>
          </w:tcPr>
          <w:p>
            <w:pPr>
              <w:spacing w:after="20"/>
            </w:pPr>
            <w:r/>
            <w:r>
              <w:rPr>
                <w:sz w:val="18"/>
              </w:rPr>
              <w:t>La normativa que obliga y sus plazos</w:t>
            </w:r>
          </w:p>
        </w:tc>
        <w:tc>
          <w:tcPr>
            <w:tcW w:type="dxa" w:w="2494"/>
          </w:tcPr>
          <w:p>
            <w:pPr>
              <w:spacing w:after="20"/>
            </w:pPr>
            <w:r/>
            <w:r>
              <w:rPr>
                <w:sz w:val="18"/>
              </w:rPr>
              <w:t>Verifiquen la vigencia el mismo mes en que escriben</w:t>
            </w:r>
          </w:p>
        </w:tc>
      </w:tr>
    </w:tbl>
    <w:p>
      <w:pPr>
        <w:spacing w:after="40"/>
      </w:pPr>
    </w:p>
    <w:p>
      <w:pPr>
        <w:pStyle w:val="Heading1"/>
      </w:pPr>
      <w:r>
        <w:t>3. Cómo se verifica un caso antes de citarlo</w:t>
      </w:r>
    </w:p>
    <w:tbl>
      <w:tblPr>
        <w:tblW w:type="auto" w:w="0"/>
        <w:jc w:val="center"/>
        <w:tblLook w:firstColumn="1" w:firstRow="1" w:lastColumn="0" w:lastRow="0" w:noHBand="0" w:noVBand="1" w:val="04A0"/>
        <w:tblBorders>
          <w:top w:val="single" w:sz="4" w:color="B8C4D8"/>
          <w:left w:val="single" w:sz="4" w:color="B8C4D8"/>
          <w:bottom w:val="single" w:sz="4" w:color="B8C4D8"/>
          <w:right w:val="single" w:sz="4" w:color="B8C4D8"/>
          <w:insideH w:val="single" w:sz="4" w:color="B8C4D8"/>
          <w:insideV w:val="single" w:sz="4" w:color="B8C4D8"/>
        </w:tblBorders>
      </w:tblPr>
      <w:tblGrid>
        <w:gridCol w:w="3135"/>
        <w:gridCol w:w="3135"/>
        <w:gridCol w:w="3135"/>
      </w:tblGrid>
      <w:tr>
        <w:trPr>
          <w:tblHeader w:val="true"/>
        </w:trPr>
        <w:tc>
          <w:tcPr>
            <w:tcW w:type="dxa" w:w="1928"/>
            <w:shd w:val="clear" w:color="auto" w:fill="DCE6F2"/>
          </w:tcPr>
          <w:p>
            <w:pPr>
              <w:spacing w:after="20"/>
            </w:pPr>
            <w:r/>
            <w:r>
              <w:rPr>
                <w:b/>
                <w:sz w:val="18"/>
              </w:rPr>
              <w:t>Paso</w:t>
            </w:r>
          </w:p>
        </w:tc>
        <w:tc>
          <w:tcPr>
            <w:tcW w:type="dxa" w:w="3628"/>
            <w:shd w:val="clear" w:color="auto" w:fill="DCE6F2"/>
          </w:tcPr>
          <w:p>
            <w:pPr>
              <w:spacing w:after="20"/>
            </w:pPr>
            <w:r/>
            <w:r>
              <w:rPr>
                <w:b/>
                <w:sz w:val="18"/>
              </w:rPr>
              <w:t>Qué hacer</w:t>
            </w:r>
          </w:p>
        </w:tc>
        <w:tc>
          <w:tcPr>
            <w:tcW w:type="dxa" w:w="3628"/>
            <w:shd w:val="clear" w:color="auto" w:fill="DCE6F2"/>
          </w:tcPr>
          <w:p>
            <w:pPr>
              <w:spacing w:after="20"/>
            </w:pPr>
            <w:r/>
            <w:r>
              <w:rPr>
                <w:b/>
                <w:sz w:val="18"/>
              </w:rPr>
              <w:t>Qué lo invalida</w:t>
            </w:r>
          </w:p>
        </w:tc>
      </w:tr>
      <w:tr>
        <w:tc>
          <w:tcPr>
            <w:tcW w:type="dxa" w:w="1928"/>
          </w:tcPr>
          <w:p>
            <w:pPr>
              <w:spacing w:after="20"/>
            </w:pPr>
            <w:r/>
            <w:r>
              <w:rPr>
                <w:sz w:val="18"/>
              </w:rPr>
              <w:t>1 · Abrir la fuente</w:t>
            </w:r>
          </w:p>
        </w:tc>
        <w:tc>
          <w:tcPr>
            <w:tcW w:type="dxa" w:w="3628"/>
          </w:tcPr>
          <w:p>
            <w:pPr>
              <w:spacing w:after="20"/>
            </w:pPr>
            <w:r/>
            <w:r>
              <w:rPr>
                <w:sz w:val="18"/>
              </w:rPr>
              <w:t>Llegar al documento o la página original y leerlo.</w:t>
            </w:r>
          </w:p>
        </w:tc>
        <w:tc>
          <w:tcPr>
            <w:tcW w:type="dxa" w:w="3628"/>
          </w:tcPr>
          <w:p>
            <w:pPr>
              <w:spacing w:after="20"/>
            </w:pPr>
            <w:r/>
            <w:r>
              <w:rPr>
                <w:sz w:val="18"/>
              </w:rPr>
              <w:t>Citar un resumen de buscador, un blog de un proveedor o una respuesta de una IA sin haber abierto la fuente.</w:t>
            </w:r>
          </w:p>
        </w:tc>
      </w:tr>
      <w:tr>
        <w:tc>
          <w:tcPr>
            <w:tcW w:type="dxa" w:w="1928"/>
          </w:tcPr>
          <w:p>
            <w:pPr>
              <w:spacing w:after="20"/>
            </w:pPr>
            <w:r/>
            <w:r>
              <w:rPr>
                <w:sz w:val="18"/>
              </w:rPr>
              <w:t>2 · Comprobar lo que se afirma</w:t>
            </w:r>
          </w:p>
        </w:tc>
        <w:tc>
          <w:tcPr>
            <w:tcW w:type="dxa" w:w="3628"/>
          </w:tcPr>
          <w:p>
            <w:pPr>
              <w:spacing w:after="20"/>
            </w:pPr>
            <w:r/>
            <w:r>
              <w:rPr>
                <w:sz w:val="18"/>
              </w:rPr>
              <w:t>Que la fecha, la cifra y el alcance dicen lo que ustedes escriben.</w:t>
            </w:r>
          </w:p>
        </w:tc>
        <w:tc>
          <w:tcPr>
            <w:tcW w:type="dxa" w:w="3628"/>
          </w:tcPr>
          <w:p>
            <w:pPr>
              <w:spacing w:after="20"/>
            </w:pPr>
            <w:r/>
            <w:r>
              <w:rPr>
                <w:sz w:val="18"/>
              </w:rPr>
              <w:t>Una cifra que no aparece en la fuente, o que aparece para otra sede, otro año u otro indicador.</w:t>
            </w:r>
          </w:p>
        </w:tc>
      </w:tr>
      <w:tr>
        <w:tc>
          <w:tcPr>
            <w:tcW w:type="dxa" w:w="1928"/>
          </w:tcPr>
          <w:p>
            <w:pPr>
              <w:spacing w:after="20"/>
            </w:pPr>
            <w:r/>
            <w:r>
              <w:rPr>
                <w:sz w:val="18"/>
              </w:rPr>
              <w:t>3 · Decir de dónde sale la cifra</w:t>
            </w:r>
          </w:p>
        </w:tc>
        <w:tc>
          <w:tcPr>
            <w:tcW w:type="dxa" w:w="3628"/>
          </w:tcPr>
          <w:p>
            <w:pPr>
              <w:spacing w:after="20"/>
            </w:pPr>
            <w:r/>
            <w:r>
              <w:rPr>
                <w:sz w:val="18"/>
              </w:rPr>
              <w:t>Si la da la propia organización, es autorreportada. Si la mide un tercero, díganlo.</w:t>
            </w:r>
          </w:p>
        </w:tc>
        <w:tc>
          <w:tcPr>
            <w:tcW w:type="dxa" w:w="3628"/>
          </w:tcPr>
          <w:p>
            <w:pPr>
              <w:spacing w:after="20"/>
            </w:pPr>
            <w:r/>
            <w:r>
              <w:rPr>
                <w:sz w:val="18"/>
              </w:rPr>
              <w:t>Presentar un resultado autorreportado como si fuera una evaluación independiente.</w:t>
            </w:r>
          </w:p>
        </w:tc>
      </w:tr>
      <w:tr>
        <w:tc>
          <w:tcPr>
            <w:tcW w:type="dxa" w:w="1928"/>
          </w:tcPr>
          <w:p>
            <w:pPr>
              <w:spacing w:after="20"/>
            </w:pPr>
            <w:r/>
            <w:r>
              <w:rPr>
                <w:sz w:val="18"/>
              </w:rPr>
              <w:t>4 · Conectarlo con una decisión</w:t>
            </w:r>
          </w:p>
        </w:tc>
        <w:tc>
          <w:tcPr>
            <w:tcW w:type="dxa" w:w="3628"/>
          </w:tcPr>
          <w:p>
            <w:pPr>
              <w:spacing w:after="20"/>
            </w:pPr>
            <w:r/>
            <w:r>
              <w:rPr>
                <w:sz w:val="18"/>
              </w:rPr>
              <w:t>¿Qué iniciativa, horizonte o rama del roadmap sostiene o pone en duda?</w:t>
            </w:r>
          </w:p>
        </w:tc>
        <w:tc>
          <w:tcPr>
            <w:tcW w:type="dxa" w:w="3628"/>
          </w:tcPr>
          <w:p>
            <w:pPr>
              <w:spacing w:after="20"/>
            </w:pPr>
            <w:r/>
            <w:r>
              <w:rPr>
                <w:sz w:val="18"/>
              </w:rPr>
              <w:t>Un caso que no cambia ni sostiene ninguna decisión: es adorno.</w:t>
            </w:r>
          </w:p>
        </w:tc>
      </w:tr>
    </w:tbl>
    <w:p>
      <w:pPr>
        <w:spacing w:after="40"/>
      </w:pPr>
    </w:p>
    <w:tbl>
      <w:tblPr>
        <w:tblW w:type="auto" w:w="0"/>
        <w:tblLook w:firstColumn="1" w:firstRow="1" w:lastColumn="0" w:lastRow="0" w:noHBand="0" w:noVBand="1" w:val="04A0"/>
      </w:tblPr>
      <w:tblGrid>
        <w:gridCol w:w="9406"/>
      </w:tblGrid>
      <w:tr>
        <w:trPr>
          <w:cantSplit w:val="true"/>
        </w:trPr>
        <w:tc>
          <w:tcPr>
            <w:tcW w:type="dxa" w:w="9406"/>
            <w:shd w:val="clear" w:color="auto" w:fill="EEF3FA"/>
            <w:tcBorders>
              <w:top w:val="nil"/>
              <w:bottom w:val="nil"/>
              <w:right w:val="nil"/>
              <w:left w:val="single" w:sz="24" w:color="C2622C"/>
            </w:tcBorders>
          </w:tcPr>
          <w:p>
            <w:r>
              <w:rPr>
                <w:b/>
                <w:sz w:val="20"/>
              </w:rPr>
              <w:t>Un caso que no se pudo verificar se descarta, aunque sea famoso.</w:t>
            </w:r>
            <w:r>
              <w:rPr>
                <w:sz w:val="20"/>
              </w:rPr>
              <w:t xml:space="preserve"> Al preparar el ejemplo de Red Salud Andina se descartaron dos candidatos: uno porque no se encontró evidencia del nivel de madurez que se le atribuía, y otro porque dos fuentes secundarias daban niveles distintos y no se pudo abrir la primaria. Es mejor dos casos verificados que cinco dudosos.</w:t>
            </w:r>
          </w:p>
        </w:tc>
      </w:tr>
    </w:tbl>
    <w:p>
      <w:pPr>
        <w:spacing w:after="40"/>
      </w:pPr>
    </w:p>
    <w:p>
      <w:pPr>
        <w:pStyle w:val="Heading1"/>
      </w:pPr>
      <w:r>
        <w:t>4. El ejemplo: tres casos, cada uno con su decisión</w:t>
      </w:r>
    </w:p>
    <w:p>
      <w:r>
        <w:t>Así quedó la parte de casos de la ficha de Red Salud Andina. Todas las fuentes se abrieron en septiembre de 2026.</w:t>
      </w:r>
    </w:p>
    <w:tbl>
      <w:tblPr>
        <w:tblW w:type="auto" w:w="0"/>
        <w:jc w:val="center"/>
        <w:tblLook w:firstColumn="1" w:firstRow="1" w:lastColumn="0" w:lastRow="0" w:noHBand="0" w:noVBand="1" w:val="04A0"/>
        <w:tblBorders>
          <w:top w:val="single" w:sz="4" w:color="B8C4D8"/>
          <w:left w:val="single" w:sz="4" w:color="B8C4D8"/>
          <w:bottom w:val="single" w:sz="4" w:color="B8C4D8"/>
          <w:right w:val="single" w:sz="4" w:color="B8C4D8"/>
          <w:insideH w:val="single" w:sz="4" w:color="B8C4D8"/>
          <w:insideV w:val="single" w:sz="4" w:color="B8C4D8"/>
        </w:tblBorders>
      </w:tblPr>
      <w:tblGrid>
        <w:gridCol w:w="2351"/>
        <w:gridCol w:w="2351"/>
        <w:gridCol w:w="2351"/>
        <w:gridCol w:w="2351"/>
      </w:tblGrid>
      <w:tr>
        <w:trPr>
          <w:tblHeader w:val="true"/>
        </w:trPr>
        <w:tc>
          <w:tcPr>
            <w:tcW w:type="dxa" w:w="1814"/>
            <w:shd w:val="clear" w:color="auto" w:fill="DCE6F2"/>
          </w:tcPr>
          <w:p>
            <w:pPr>
              <w:spacing w:after="20"/>
            </w:pPr>
            <w:r/>
            <w:r>
              <w:rPr>
                <w:b/>
                <w:sz w:val="17"/>
              </w:rPr>
              <w:t>Caso</w:t>
            </w:r>
          </w:p>
        </w:tc>
        <w:tc>
          <w:tcPr>
            <w:tcW w:type="dxa" w:w="2608"/>
            <w:shd w:val="clear" w:color="auto" w:fill="DCE6F2"/>
          </w:tcPr>
          <w:p>
            <w:pPr>
              <w:spacing w:after="20"/>
            </w:pPr>
            <w:r/>
            <w:r>
              <w:rPr>
                <w:b/>
                <w:sz w:val="17"/>
              </w:rPr>
              <w:t>Qué hizo</w:t>
            </w:r>
          </w:p>
        </w:tc>
        <w:tc>
          <w:tcPr>
            <w:tcW w:type="dxa" w:w="2268"/>
            <w:shd w:val="clear" w:color="auto" w:fill="DCE6F2"/>
          </w:tcPr>
          <w:p>
            <w:pPr>
              <w:spacing w:after="20"/>
            </w:pPr>
            <w:r/>
            <w:r>
              <w:rPr>
                <w:b/>
                <w:sz w:val="17"/>
              </w:rPr>
              <w:t>Resultado y quién lo reporta</w:t>
            </w:r>
          </w:p>
        </w:tc>
        <w:tc>
          <w:tcPr>
            <w:tcW w:type="dxa" w:w="2494"/>
            <w:shd w:val="clear" w:color="auto" w:fill="DCE6F2"/>
          </w:tcPr>
          <w:p>
            <w:pPr>
              <w:spacing w:after="20"/>
            </w:pPr>
            <w:r/>
            <w:r>
              <w:rPr>
                <w:b/>
                <w:sz w:val="17"/>
              </w:rPr>
              <w:t>Decisión del roadmap que sostiene</w:t>
            </w:r>
          </w:p>
        </w:tc>
      </w:tr>
      <w:tr>
        <w:tc>
          <w:tcPr>
            <w:tcW w:type="dxa" w:w="1814"/>
          </w:tcPr>
          <w:p>
            <w:pPr>
              <w:spacing w:after="20"/>
            </w:pPr>
            <w:r/>
            <w:r>
              <w:rPr>
                <w:sz w:val="17"/>
              </w:rPr>
              <w:t>Fundación Cardiovascular de Colombia y Hospital Internacional de Colombia (Bucaramanga)</w:t>
            </w:r>
          </w:p>
        </w:tc>
        <w:tc>
          <w:tcPr>
            <w:tcW w:type="dxa" w:w="2608"/>
          </w:tcPr>
          <w:p>
            <w:pPr>
              <w:spacing w:after="20"/>
            </w:pPr>
            <w:r/>
            <w:r>
              <w:rPr>
                <w:sz w:val="17"/>
              </w:rPr>
              <w:t>Historia clínica electrónica propia (SAHI) integrada con laboratorio, imágenes, patología y farmacia; después, uso del dato: alertas tempranas con IA y telemonitoreo</w:t>
            </w:r>
          </w:p>
        </w:tc>
        <w:tc>
          <w:tcPr>
            <w:tcW w:type="dxa" w:w="2268"/>
          </w:tcPr>
          <w:p>
            <w:pPr>
              <w:spacing w:after="20"/>
            </w:pPr>
            <w:r/>
            <w:r>
              <w:rPr>
                <w:sz w:val="17"/>
              </w:rPr>
              <w:t>HIMSS EMRAM 6 en 2021 y 7 en 2022; recertificación EMRAM 7 en enero de 2026, única institución colombiana con ese nivel vigente (Moreno González, 2026)</w:t>
            </w:r>
          </w:p>
        </w:tc>
        <w:tc>
          <w:tcPr>
            <w:tcW w:type="dxa" w:w="2494"/>
          </w:tcPr>
          <w:p>
            <w:pPr>
              <w:spacing w:after="20"/>
            </w:pPr>
            <w:r/>
            <w:r>
              <w:rPr>
                <w:sz w:val="17"/>
              </w:rPr>
              <w:t>El orden de T+1 a T+2: primero se integran los sistemas satélite a una sola historia (D2, A4, A6) y solo después se explota el dato (D4)</w:t>
            </w:r>
          </w:p>
        </w:tc>
      </w:tr>
      <w:tr>
        <w:tc>
          <w:tcPr>
            <w:tcW w:type="dxa" w:w="1814"/>
          </w:tcPr>
          <w:p>
            <w:pPr>
              <w:spacing w:after="20"/>
            </w:pPr>
            <w:r/>
            <w:r>
              <w:rPr>
                <w:sz w:val="17"/>
              </w:rPr>
              <w:t>Mayo Clinic, Plummer Project (Estados Unidos)</w:t>
            </w:r>
          </w:p>
        </w:tc>
        <w:tc>
          <w:tcPr>
            <w:tcW w:type="dxa" w:w="2608"/>
          </w:tcPr>
          <w:p>
            <w:pPr>
              <w:spacing w:after="20"/>
            </w:pPr>
            <w:r/>
            <w:r>
              <w:rPr>
                <w:sz w:val="17"/>
              </w:rPr>
              <w:t>Reemplazó sistemas dispares por una sola historia clínica y un solo sistema de ciclo de ingresos, en 90 hospitales y clínicas</w:t>
            </w:r>
          </w:p>
        </w:tc>
        <w:tc>
          <w:tcPr>
            <w:tcW w:type="dxa" w:w="2268"/>
          </w:tcPr>
          <w:p>
            <w:pPr>
              <w:spacing w:after="20"/>
            </w:pPr>
            <w:r/>
            <w:r>
              <w:rPr>
                <w:sz w:val="17"/>
              </w:rPr>
              <w:t>Despliegue por olas regionales entre julio de 2017 y octubre de 2018; la misma información del paciente en cualquier sede y un estado de cuenta consolidado (HMT, 2018)</w:t>
            </w:r>
          </w:p>
        </w:tc>
        <w:tc>
          <w:tcPr>
            <w:tcW w:type="dxa" w:w="2494"/>
          </w:tcPr>
          <w:p>
            <w:pPr>
              <w:spacing w:after="20"/>
            </w:pPr>
            <w:r/>
            <w:r>
              <w:rPr>
                <w:sz w:val="17"/>
              </w:rPr>
              <w:t>La rama B: si se consolida, se hace por oleadas de dos sedes y con historia y facturación juntas, no con un corte único</w:t>
            </w:r>
          </w:p>
        </w:tc>
      </w:tr>
      <w:tr>
        <w:tc>
          <w:tcPr>
            <w:tcW w:type="dxa" w:w="1814"/>
          </w:tcPr>
          <w:p>
            <w:pPr>
              <w:spacing w:after="20"/>
            </w:pPr>
            <w:r/>
            <w:r>
              <w:rPr>
                <w:sz w:val="17"/>
              </w:rPr>
              <w:t>Hospital Italiano de Buenos Aires (Argentina)</w:t>
            </w:r>
          </w:p>
        </w:tc>
        <w:tc>
          <w:tcPr>
            <w:tcW w:type="dxa" w:w="2608"/>
          </w:tcPr>
          <w:p>
            <w:pPr>
              <w:spacing w:after="20"/>
            </w:pPr>
            <w:r/>
            <w:r>
              <w:rPr>
                <w:sz w:val="17"/>
              </w:rPr>
              <w:t>Sistema de información propio desde 1998, integrado con admisiones, laboratorio y radiología mediante HL7; en 2001 creó un departamento de informática en salud de más de 110 personas</w:t>
            </w:r>
          </w:p>
        </w:tc>
        <w:tc>
          <w:tcPr>
            <w:tcW w:type="dxa" w:w="2268"/>
          </w:tcPr>
          <w:p>
            <w:pPr>
              <w:spacing w:after="20"/>
            </w:pPr>
            <w:r/>
            <w:r>
              <w:rPr>
                <w:sz w:val="17"/>
              </w:rPr>
              <w:t>Veinte años de construcción sostenida; su índice maestro de pacientes se adapta a necesidades de registro nuevas sin rehacer el sistema (Frangella et al., 2019; International Medical Informatics Association, 2015)</w:t>
            </w:r>
          </w:p>
        </w:tc>
        <w:tc>
          <w:tcPr>
            <w:tcW w:type="dxa" w:w="2494"/>
          </w:tcPr>
          <w:p>
            <w:pPr>
              <w:spacing w:after="20"/>
            </w:pPr>
            <w:r/>
            <w:r>
              <w:rPr>
                <w:sz w:val="17"/>
              </w:rPr>
              <w:t>K1 y el índice maestro primero: la capacidad interna y la identidad única son lo que permite crecer después; y la humildad del horizonte: 36 meses no alcanzan para todo</w:t>
            </w:r>
          </w:p>
        </w:tc>
      </w:tr>
    </w:tbl>
    <w:p>
      <w:pPr>
        <w:spacing w:after="40"/>
      </w:pPr>
    </w:p>
    <w:p>
      <w:pPr>
        <w:pStyle w:val="Heading1"/>
      </w:pPr>
      <w:r>
        <w:t>5. La normativa que fija el calendario</w:t>
      </w:r>
    </w:p>
    <w:p>
      <w:r>
        <w:t>En salud, varias de las fechas del roadmap no las pone la organización sino la norma. Esta tabla se verificó en las fuentes oficiales en septiembre de 2026.</w:t>
      </w:r>
    </w:p>
    <w:tbl>
      <w:tblPr>
        <w:tblW w:type="auto" w:w="0"/>
        <w:jc w:val="center"/>
        <w:tblLook w:firstColumn="1" w:firstRow="1" w:lastColumn="0" w:lastRow="0" w:noHBand="0" w:noVBand="1" w:val="04A0"/>
        <w:tblBorders>
          <w:top w:val="single" w:sz="4" w:color="B8C4D8"/>
          <w:left w:val="single" w:sz="4" w:color="B8C4D8"/>
          <w:bottom w:val="single" w:sz="4" w:color="B8C4D8"/>
          <w:right w:val="single" w:sz="4" w:color="B8C4D8"/>
          <w:insideH w:val="single" w:sz="4" w:color="B8C4D8"/>
          <w:insideV w:val="single" w:sz="4" w:color="B8C4D8"/>
        </w:tblBorders>
      </w:tblPr>
      <w:tblGrid>
        <w:gridCol w:w="1881"/>
        <w:gridCol w:w="1881"/>
        <w:gridCol w:w="1881"/>
        <w:gridCol w:w="1881"/>
        <w:gridCol w:w="1881"/>
      </w:tblGrid>
      <w:tr>
        <w:trPr>
          <w:tblHeader w:val="true"/>
        </w:trPr>
        <w:tc>
          <w:tcPr>
            <w:tcW w:type="dxa" w:w="1587"/>
            <w:shd w:val="clear" w:color="auto" w:fill="DCE6F2"/>
          </w:tcPr>
          <w:p>
            <w:pPr>
              <w:spacing w:after="20"/>
            </w:pPr>
            <w:r/>
            <w:r>
              <w:rPr>
                <w:b/>
                <w:sz w:val="17"/>
              </w:rPr>
              <w:t>Norma</w:t>
            </w:r>
          </w:p>
        </w:tc>
        <w:tc>
          <w:tcPr>
            <w:tcW w:type="dxa" w:w="964"/>
            <w:shd w:val="clear" w:color="auto" w:fill="DCE6F2"/>
          </w:tcPr>
          <w:p>
            <w:pPr>
              <w:spacing w:after="20"/>
            </w:pPr>
            <w:r/>
            <w:r>
              <w:rPr>
                <w:b/>
                <w:sz w:val="17"/>
              </w:rPr>
              <w:t>Entidad</w:t>
            </w:r>
          </w:p>
        </w:tc>
        <w:tc>
          <w:tcPr>
            <w:tcW w:type="dxa" w:w="2494"/>
            <w:shd w:val="clear" w:color="auto" w:fill="DCE6F2"/>
          </w:tcPr>
          <w:p>
            <w:pPr>
              <w:spacing w:after="20"/>
            </w:pPr>
            <w:r/>
            <w:r>
              <w:rPr>
                <w:b/>
                <w:sz w:val="17"/>
              </w:rPr>
              <w:t>Qué establece</w:t>
            </w:r>
          </w:p>
        </w:tc>
        <w:tc>
          <w:tcPr>
            <w:tcW w:type="dxa" w:w="1814"/>
            <w:shd w:val="clear" w:color="auto" w:fill="DCE6F2"/>
          </w:tcPr>
          <w:p>
            <w:pPr>
              <w:spacing w:after="20"/>
            </w:pPr>
            <w:r/>
            <w:r>
              <w:rPr>
                <w:b/>
                <w:sz w:val="17"/>
              </w:rPr>
              <w:t>A quién obliga</w:t>
            </w:r>
          </w:p>
        </w:tc>
        <w:tc>
          <w:tcPr>
            <w:tcW w:type="dxa" w:w="2324"/>
            <w:shd w:val="clear" w:color="auto" w:fill="DCE6F2"/>
          </w:tcPr>
          <w:p>
            <w:pPr>
              <w:spacing w:after="20"/>
            </w:pPr>
            <w:r/>
            <w:r>
              <w:rPr>
                <w:b/>
                <w:sz w:val="17"/>
              </w:rPr>
              <w:t>Plazo y vigencia</w:t>
            </w:r>
          </w:p>
        </w:tc>
      </w:tr>
      <w:tr>
        <w:tc>
          <w:tcPr>
            <w:tcW w:type="dxa" w:w="1587"/>
          </w:tcPr>
          <w:p>
            <w:pPr>
              <w:spacing w:after="20"/>
            </w:pPr>
            <w:r/>
            <w:r>
              <w:rPr>
                <w:sz w:val="17"/>
              </w:rPr>
              <w:t>Ley 2015 de 2020</w:t>
            </w:r>
          </w:p>
        </w:tc>
        <w:tc>
          <w:tcPr>
            <w:tcW w:type="dxa" w:w="964"/>
          </w:tcPr>
          <w:p>
            <w:pPr>
              <w:spacing w:after="20"/>
            </w:pPr>
            <w:r/>
            <w:r>
              <w:rPr>
                <w:sz w:val="17"/>
              </w:rPr>
              <w:t>Congreso</w:t>
            </w:r>
          </w:p>
        </w:tc>
        <w:tc>
          <w:tcPr>
            <w:tcW w:type="dxa" w:w="2494"/>
          </w:tcPr>
          <w:p>
            <w:pPr>
              <w:spacing w:after="20"/>
            </w:pPr>
            <w:r/>
            <w:r>
              <w:rPr>
                <w:sz w:val="17"/>
              </w:rPr>
              <w:t>Crea la historia clínica electrónica interoperable</w:t>
            </w:r>
          </w:p>
        </w:tc>
        <w:tc>
          <w:tcPr>
            <w:tcW w:type="dxa" w:w="1814"/>
          </w:tcPr>
          <w:p>
            <w:pPr>
              <w:spacing w:after="20"/>
            </w:pPr>
            <w:r/>
            <w:r>
              <w:rPr>
                <w:sz w:val="17"/>
              </w:rPr>
              <w:t>Prestadores públicos y privados</w:t>
            </w:r>
          </w:p>
        </w:tc>
        <w:tc>
          <w:tcPr>
            <w:tcW w:type="dxa" w:w="2324"/>
          </w:tcPr>
          <w:p>
            <w:pPr>
              <w:spacing w:after="20"/>
            </w:pPr>
            <w:r/>
            <w:r>
              <w:rPr>
                <w:sz w:val="17"/>
              </w:rPr>
              <w:t>Obligatoria; el plan de implementación de 5 años venció en enero de 2025</w:t>
            </w:r>
          </w:p>
        </w:tc>
      </w:tr>
      <w:tr>
        <w:tc>
          <w:tcPr>
            <w:tcW w:type="dxa" w:w="1587"/>
          </w:tcPr>
          <w:p>
            <w:pPr>
              <w:spacing w:after="20"/>
            </w:pPr>
            <w:r/>
            <w:r>
              <w:rPr>
                <w:sz w:val="17"/>
              </w:rPr>
              <w:t>Resolución 866 de 2021</w:t>
            </w:r>
          </w:p>
        </w:tc>
        <w:tc>
          <w:tcPr>
            <w:tcW w:type="dxa" w:w="964"/>
          </w:tcPr>
          <w:p>
            <w:pPr>
              <w:spacing w:after="20"/>
            </w:pPr>
            <w:r/>
            <w:r>
              <w:rPr>
                <w:sz w:val="17"/>
              </w:rPr>
              <w:t>MinSalud</w:t>
            </w:r>
          </w:p>
        </w:tc>
        <w:tc>
          <w:tcPr>
            <w:tcW w:type="dxa" w:w="2494"/>
          </w:tcPr>
          <w:p>
            <w:pPr>
              <w:spacing w:after="20"/>
            </w:pPr>
            <w:r/>
            <w:r>
              <w:rPr>
                <w:sz w:val="17"/>
              </w:rPr>
              <w:t>Elementos de datos clínicos relevantes para la interoperabilidad</w:t>
            </w:r>
          </w:p>
        </w:tc>
        <w:tc>
          <w:tcPr>
            <w:tcW w:type="dxa" w:w="1814"/>
          </w:tcPr>
          <w:p>
            <w:pPr>
              <w:spacing w:after="20"/>
            </w:pPr>
            <w:r/>
            <w:r>
              <w:rPr>
                <w:sz w:val="17"/>
              </w:rPr>
              <w:t>Prestadores y demás actores del sistema</w:t>
            </w:r>
          </w:p>
        </w:tc>
        <w:tc>
          <w:tcPr>
            <w:tcW w:type="dxa" w:w="2324"/>
          </w:tcPr>
          <w:p>
            <w:pPr>
              <w:spacing w:after="20"/>
            </w:pPr>
            <w:r/>
            <w:r>
              <w:rPr>
                <w:sz w:val="17"/>
              </w:rPr>
              <w:t>Obligatoria; es la base del contenido del RDA</w:t>
            </w:r>
          </w:p>
        </w:tc>
      </w:tr>
      <w:tr>
        <w:tc>
          <w:tcPr>
            <w:tcW w:type="dxa" w:w="1587"/>
          </w:tcPr>
          <w:p>
            <w:pPr>
              <w:spacing w:after="20"/>
            </w:pPr>
            <w:r/>
            <w:r>
              <w:rPr>
                <w:sz w:val="17"/>
              </w:rPr>
              <w:t>Resolución 1888 de 2025</w:t>
            </w:r>
          </w:p>
        </w:tc>
        <w:tc>
          <w:tcPr>
            <w:tcW w:type="dxa" w:w="964"/>
          </w:tcPr>
          <w:p>
            <w:pPr>
              <w:spacing w:after="20"/>
            </w:pPr>
            <w:r/>
            <w:r>
              <w:rPr>
                <w:sz w:val="17"/>
              </w:rPr>
              <w:t>MinSalud</w:t>
            </w:r>
          </w:p>
        </w:tc>
        <w:tc>
          <w:tcPr>
            <w:tcW w:type="dxa" w:w="2494"/>
          </w:tcPr>
          <w:p>
            <w:pPr>
              <w:spacing w:after="20"/>
            </w:pPr>
            <w:r/>
            <w:r>
              <w:rPr>
                <w:sz w:val="17"/>
              </w:rPr>
              <w:t>Adopta el Resumen Digital de Atención en Salud (RDA)</w:t>
            </w:r>
          </w:p>
        </w:tc>
        <w:tc>
          <w:tcPr>
            <w:tcW w:type="dxa" w:w="1814"/>
          </w:tcPr>
          <w:p>
            <w:pPr>
              <w:spacing w:after="20"/>
            </w:pPr>
            <w:r/>
            <w:r>
              <w:rPr>
                <w:sz w:val="17"/>
              </w:rPr>
              <w:t>Actores del artículo 2 de la Resolución 866</w:t>
            </w:r>
          </w:p>
        </w:tc>
        <w:tc>
          <w:tcPr>
            <w:tcW w:type="dxa" w:w="2324"/>
          </w:tcPr>
          <w:p>
            <w:pPr>
              <w:spacing w:after="20"/>
            </w:pPr>
            <w:r/>
            <w:r>
              <w:rPr>
                <w:sz w:val="17"/>
              </w:rPr>
              <w:t xml:space="preserve">Plazo de 6 meses desde el 15 de octubre de 2025: </w:t>
            </w:r>
            <w:r>
              <w:rPr>
                <w:b/>
                <w:sz w:val="17"/>
              </w:rPr>
              <w:t>venció el 15 de abril de 2026</w:t>
            </w:r>
            <w:r>
              <w:rPr>
                <w:sz w:val="17"/>
              </w:rPr>
              <w:t>. Modificada por la Resolución 1799 de 2026</w:t>
            </w:r>
          </w:p>
        </w:tc>
      </w:tr>
      <w:tr>
        <w:tc>
          <w:tcPr>
            <w:tcW w:type="dxa" w:w="1587"/>
          </w:tcPr>
          <w:p>
            <w:pPr>
              <w:spacing w:after="20"/>
            </w:pPr>
            <w:r/>
            <w:r>
              <w:rPr>
                <w:sz w:val="17"/>
              </w:rPr>
              <w:t>Resolución 2275 de 2023</w:t>
            </w:r>
          </w:p>
        </w:tc>
        <w:tc>
          <w:tcPr>
            <w:tcW w:type="dxa" w:w="964"/>
          </w:tcPr>
          <w:p>
            <w:pPr>
              <w:spacing w:after="20"/>
            </w:pPr>
            <w:r/>
            <w:r>
              <w:rPr>
                <w:sz w:val="17"/>
              </w:rPr>
              <w:t>MinSalud</w:t>
            </w:r>
          </w:p>
        </w:tc>
        <w:tc>
          <w:tcPr>
            <w:tcW w:type="dxa" w:w="2494"/>
          </w:tcPr>
          <w:p>
            <w:pPr>
              <w:spacing w:after="20"/>
            </w:pPr>
            <w:r/>
            <w:r>
              <w:rPr>
                <w:sz w:val="17"/>
              </w:rPr>
              <w:t>RIPS como soporte de la factura electrónica de venta en salud</w:t>
            </w:r>
          </w:p>
        </w:tc>
        <w:tc>
          <w:tcPr>
            <w:tcW w:type="dxa" w:w="1814"/>
          </w:tcPr>
          <w:p>
            <w:pPr>
              <w:spacing w:after="20"/>
            </w:pPr>
            <w:r/>
            <w:r>
              <w:rPr>
                <w:sz w:val="17"/>
              </w:rPr>
              <w:t>Prestadores de servicios de salud</w:t>
            </w:r>
          </w:p>
        </w:tc>
        <w:tc>
          <w:tcPr>
            <w:tcW w:type="dxa" w:w="2324"/>
          </w:tcPr>
          <w:p>
            <w:pPr>
              <w:spacing w:after="20"/>
            </w:pPr>
            <w:r/>
            <w:r>
              <w:rPr>
                <w:sz w:val="17"/>
              </w:rPr>
              <w:t>Obligatoria; con la Resolución 1884 de 2024, en operación para mediana complejidad desde el 1 de febrero de 2025</w:t>
            </w:r>
          </w:p>
        </w:tc>
      </w:tr>
      <w:tr>
        <w:tc>
          <w:tcPr>
            <w:tcW w:type="dxa" w:w="1587"/>
          </w:tcPr>
          <w:p>
            <w:pPr>
              <w:spacing w:after="20"/>
            </w:pPr>
            <w:r/>
            <w:r>
              <w:rPr>
                <w:sz w:val="17"/>
              </w:rPr>
              <w:t>Resolución 1644 de 2026</w:t>
            </w:r>
          </w:p>
        </w:tc>
        <w:tc>
          <w:tcPr>
            <w:tcW w:type="dxa" w:w="964"/>
          </w:tcPr>
          <w:p>
            <w:pPr>
              <w:spacing w:after="20"/>
            </w:pPr>
            <w:r/>
            <w:r>
              <w:rPr>
                <w:sz w:val="17"/>
              </w:rPr>
              <w:t>MinSalud</w:t>
            </w:r>
          </w:p>
        </w:tc>
        <w:tc>
          <w:tcPr>
            <w:tcW w:type="dxa" w:w="2494"/>
          </w:tcPr>
          <w:p>
            <w:pPr>
              <w:spacing w:after="20"/>
            </w:pPr>
            <w:r/>
            <w:r>
              <w:rPr>
                <w:sz w:val="17"/>
              </w:rPr>
              <w:t>Requisitos de la telesalud y la telemedicina; deroga la Resolución 2654 de 2019</w:t>
            </w:r>
          </w:p>
        </w:tc>
        <w:tc>
          <w:tcPr>
            <w:tcW w:type="dxa" w:w="1814"/>
          </w:tcPr>
          <w:p>
            <w:pPr>
              <w:spacing w:after="20"/>
            </w:pPr>
            <w:r/>
            <w:r>
              <w:rPr>
                <w:sz w:val="17"/>
              </w:rPr>
              <w:t>Prestadores con telemedicina</w:t>
            </w:r>
          </w:p>
        </w:tc>
        <w:tc>
          <w:tcPr>
            <w:tcW w:type="dxa" w:w="2324"/>
          </w:tcPr>
          <w:p>
            <w:pPr>
              <w:spacing w:after="20"/>
            </w:pPr>
            <w:r/>
            <w:r>
              <w:rPr>
                <w:sz w:val="17"/>
              </w:rPr>
              <w:t>Vigente desde el 31 de julio de 2026: interoperabilidad y sin duplicidad de registros (art. 14)</w:t>
            </w:r>
          </w:p>
        </w:tc>
      </w:tr>
      <w:tr>
        <w:tc>
          <w:tcPr>
            <w:tcW w:type="dxa" w:w="1587"/>
          </w:tcPr>
          <w:p>
            <w:pPr>
              <w:spacing w:after="20"/>
            </w:pPr>
            <w:r/>
            <w:r>
              <w:rPr>
                <w:sz w:val="17"/>
              </w:rPr>
              <w:t>Ley 1581 de 2012</w:t>
            </w:r>
          </w:p>
        </w:tc>
        <w:tc>
          <w:tcPr>
            <w:tcW w:type="dxa" w:w="964"/>
          </w:tcPr>
          <w:p>
            <w:pPr>
              <w:spacing w:after="20"/>
            </w:pPr>
            <w:r/>
            <w:r>
              <w:rPr>
                <w:sz w:val="17"/>
              </w:rPr>
              <w:t>Congreso</w:t>
            </w:r>
          </w:p>
        </w:tc>
        <w:tc>
          <w:tcPr>
            <w:tcW w:type="dxa" w:w="2494"/>
          </w:tcPr>
          <w:p>
            <w:pPr>
              <w:spacing w:after="20"/>
            </w:pPr>
            <w:r/>
            <w:r>
              <w:rPr>
                <w:sz w:val="17"/>
              </w:rPr>
              <w:t>Protección de datos personales; los datos de salud son sensibles</w:t>
            </w:r>
          </w:p>
        </w:tc>
        <w:tc>
          <w:tcPr>
            <w:tcW w:type="dxa" w:w="1814"/>
          </w:tcPr>
          <w:p>
            <w:pPr>
              <w:spacing w:after="20"/>
            </w:pPr>
            <w:r/>
            <w:r>
              <w:rPr>
                <w:sz w:val="17"/>
              </w:rPr>
              <w:t>Toda organización que trate datos personales</w:t>
            </w:r>
          </w:p>
        </w:tc>
        <w:tc>
          <w:tcPr>
            <w:tcW w:type="dxa" w:w="2324"/>
          </w:tcPr>
          <w:p>
            <w:pPr>
              <w:spacing w:after="20"/>
            </w:pPr>
            <w:r/>
            <w:r>
              <w:rPr>
                <w:sz w:val="17"/>
              </w:rPr>
              <w:t>Obligatoria</w:t>
            </w:r>
          </w:p>
        </w:tc>
      </w:tr>
    </w:tbl>
    <w:p>
      <w:pPr>
        <w:spacing w:after="40"/>
      </w:pPr>
    </w:p>
    <w:tbl>
      <w:tblPr>
        <w:tblW w:type="auto" w:w="0"/>
        <w:tblLook w:firstColumn="1" w:firstRow="1" w:lastColumn="0" w:lastRow="0" w:noHBand="0" w:noVBand="1" w:val="04A0"/>
      </w:tblPr>
      <w:tblGrid>
        <w:gridCol w:w="9406"/>
      </w:tblGrid>
      <w:tr>
        <w:trPr>
          <w:cantSplit w:val="true"/>
        </w:trPr>
        <w:tc>
          <w:tcPr>
            <w:tcW w:type="dxa" w:w="9406"/>
            <w:shd w:val="clear" w:color="auto" w:fill="EEF3FA"/>
            <w:tcBorders>
              <w:top w:val="nil"/>
              <w:bottom w:val="nil"/>
              <w:right w:val="nil"/>
              <w:left w:val="single" w:sz="24" w:color="C2622C"/>
            </w:tcBorders>
          </w:tcPr>
          <w:p>
            <w:r>
              <w:rPr>
                <w:b/>
                <w:sz w:val="20"/>
              </w:rPr>
              <w:t>Un plazo vencido no es un riesgo futuro: es un incumplimiento presente.</w:t>
            </w:r>
            <w:r>
              <w:rPr>
                <w:sz w:val="20"/>
              </w:rPr>
              <w:t xml:space="preserve"> El plazo del RDA venció el 15 de abril de 2026; si ningún sistema de su organización lo produce, la iniciativa va en T+0, no en T+1. Y la normativa cambia: hace tres meses, citar la Resolución 2654 de 2019 para telemedicina era correcto; hoy está derogada. Si su organización es de otro sector —banca, gobierno, servicios—, identifiquen la normativa de su sector y verifiquen su vigencia en el normograma oficial.</w:t>
            </w:r>
          </w:p>
        </w:tc>
      </w:tr>
    </w:tbl>
    <w:p>
      <w:pPr>
        <w:spacing w:after="40"/>
      </w:pPr>
    </w:p>
    <w:p>
      <w:pPr>
        <w:pStyle w:val="Heading1"/>
      </w:pPr>
      <w:r>
        <w:t>6. Cómo se ve bien hecho</w:t>
      </w:r>
    </w:p>
    <w:tbl>
      <w:tblPr>
        <w:tblW w:type="auto" w:w="0"/>
        <w:jc w:val="center"/>
        <w:tblLook w:firstColumn="1" w:firstRow="1" w:lastColumn="0" w:lastRow="0" w:noHBand="0" w:noVBand="1" w:val="04A0"/>
        <w:tblBorders>
          <w:top w:val="single" w:sz="4" w:color="B8C4D8"/>
          <w:left w:val="single" w:sz="4" w:color="B8C4D8"/>
          <w:bottom w:val="single" w:sz="4" w:color="B8C4D8"/>
          <w:right w:val="single" w:sz="4" w:color="B8C4D8"/>
          <w:insideH w:val="single" w:sz="4" w:color="B8C4D8"/>
          <w:insideV w:val="single" w:sz="4" w:color="B8C4D8"/>
        </w:tblBorders>
      </w:tblPr>
      <w:tblGrid>
        <w:gridCol w:w="2351"/>
        <w:gridCol w:w="2351"/>
        <w:gridCol w:w="2351"/>
        <w:gridCol w:w="2351"/>
      </w:tblGrid>
      <w:tr>
        <w:trPr>
          <w:tblHeader w:val="true"/>
        </w:trPr>
        <w:tc>
          <w:tcPr>
            <w:tcW w:type="dxa" w:w="1247"/>
            <w:shd w:val="clear" w:color="auto" w:fill="DCE6F2"/>
          </w:tcPr>
          <w:p>
            <w:pPr>
              <w:spacing w:after="20"/>
            </w:pPr>
            <w:r/>
            <w:r>
              <w:rPr>
                <w:b/>
                <w:sz w:val="18"/>
              </w:rPr>
              <w:t>Campo</w:t>
            </w:r>
          </w:p>
        </w:tc>
        <w:tc>
          <w:tcPr>
            <w:tcW w:type="dxa" w:w="2154"/>
            <w:shd w:val="clear" w:color="auto" w:fill="DCE6F2"/>
          </w:tcPr>
          <w:p>
            <w:pPr>
              <w:spacing w:after="20"/>
            </w:pPr>
            <w:r/>
            <w:r>
              <w:rPr>
                <w:b/>
                <w:sz w:val="18"/>
              </w:rPr>
              <w:t>Así no</w:t>
            </w:r>
          </w:p>
        </w:tc>
        <w:tc>
          <w:tcPr>
            <w:tcW w:type="dxa" w:w="3628"/>
            <w:shd w:val="clear" w:color="auto" w:fill="DCE6F2"/>
          </w:tcPr>
          <w:p>
            <w:pPr>
              <w:spacing w:after="20"/>
            </w:pPr>
            <w:r/>
            <w:r>
              <w:rPr>
                <w:b/>
                <w:sz w:val="18"/>
              </w:rPr>
              <w:t>Así sí</w:t>
            </w:r>
          </w:p>
        </w:tc>
        <w:tc>
          <w:tcPr>
            <w:tcW w:type="dxa" w:w="2154"/>
            <w:shd w:val="clear" w:color="auto" w:fill="DCE6F2"/>
          </w:tcPr>
          <w:p>
            <w:pPr>
              <w:spacing w:after="20"/>
            </w:pPr>
            <w:r/>
            <w:r>
              <w:rPr>
                <w:b/>
                <w:sz w:val="18"/>
              </w:rPr>
              <w:t>Por qué</w:t>
            </w:r>
          </w:p>
        </w:tc>
      </w:tr>
      <w:tr>
        <w:tc>
          <w:tcPr>
            <w:tcW w:type="dxa" w:w="1247"/>
          </w:tcPr>
          <w:p>
            <w:pPr>
              <w:spacing w:after="20"/>
            </w:pPr>
            <w:r/>
            <w:r>
              <w:rPr>
                <w:sz w:val="18"/>
              </w:rPr>
              <w:t>Tendencia</w:t>
            </w:r>
          </w:p>
        </w:tc>
        <w:tc>
          <w:tcPr>
            <w:tcW w:type="dxa" w:w="2154"/>
          </w:tcPr>
          <w:p>
            <w:pPr>
              <w:spacing w:after="20"/>
            </w:pPr>
            <w:r/>
            <w:r>
              <w:rPr>
                <w:sz w:val="18"/>
              </w:rPr>
              <w:t>«La transformación digital avanza en el sector salud»</w:t>
            </w:r>
          </w:p>
        </w:tc>
        <w:tc>
          <w:tcPr>
            <w:tcW w:type="dxa" w:w="3628"/>
          </w:tcPr>
          <w:p>
            <w:pPr>
              <w:spacing w:after="20"/>
            </w:pPr>
            <w:r/>
            <w:r>
              <w:rPr>
                <w:sz w:val="18"/>
              </w:rPr>
              <w:t>«La historia clínica interoperable es obligatoria (Ley 2015 de 2020) y el RDA tenía plazo hasta el 15 de abril de 2026»</w:t>
            </w:r>
          </w:p>
        </w:tc>
        <w:tc>
          <w:tcPr>
            <w:tcW w:type="dxa" w:w="2154"/>
          </w:tcPr>
          <w:p>
            <w:pPr>
              <w:spacing w:after="20"/>
            </w:pPr>
            <w:r/>
            <w:r>
              <w:rPr>
                <w:sz w:val="18"/>
              </w:rPr>
              <w:t>Una tendencia se sostiene con un dato y una fuente.</w:t>
            </w:r>
          </w:p>
        </w:tc>
      </w:tr>
      <w:tr>
        <w:tc>
          <w:tcPr>
            <w:tcW w:type="dxa" w:w="1247"/>
          </w:tcPr>
          <w:p>
            <w:pPr>
              <w:spacing w:after="20"/>
            </w:pPr>
            <w:r/>
            <w:r>
              <w:rPr>
                <w:sz w:val="18"/>
              </w:rPr>
              <w:t>Caso</w:t>
            </w:r>
          </w:p>
        </w:tc>
        <w:tc>
          <w:tcPr>
            <w:tcW w:type="dxa" w:w="2154"/>
          </w:tcPr>
          <w:p>
            <w:pPr>
              <w:spacing w:after="20"/>
            </w:pPr>
            <w:r/>
            <w:r>
              <w:rPr>
                <w:sz w:val="18"/>
              </w:rPr>
              <w:t>«Mayo Clinic es un referente en transformación digital»</w:t>
            </w:r>
          </w:p>
        </w:tc>
        <w:tc>
          <w:tcPr>
            <w:tcW w:type="dxa" w:w="3628"/>
          </w:tcPr>
          <w:p>
            <w:pPr>
              <w:spacing w:after="20"/>
            </w:pPr>
            <w:r/>
            <w:r>
              <w:rPr>
                <w:sz w:val="18"/>
              </w:rPr>
              <w:t>«Mayo Clinic consolidó historia clínica y facturación en un solo sistema, por olas regionales, entre 2017 y 2018»</w:t>
            </w:r>
          </w:p>
        </w:tc>
        <w:tc>
          <w:tcPr>
            <w:tcW w:type="dxa" w:w="2154"/>
          </w:tcPr>
          <w:p>
            <w:pPr>
              <w:spacing w:after="20"/>
            </w:pPr>
            <w:r/>
            <w:r>
              <w:rPr>
                <w:sz w:val="18"/>
              </w:rPr>
              <w:t>Dice qué hizo y en cuánto tiempo.</w:t>
            </w:r>
          </w:p>
        </w:tc>
      </w:tr>
      <w:tr>
        <w:tc>
          <w:tcPr>
            <w:tcW w:type="dxa" w:w="1247"/>
          </w:tcPr>
          <w:p>
            <w:pPr>
              <w:spacing w:after="20"/>
            </w:pPr>
            <w:r/>
            <w:r>
              <w:rPr>
                <w:sz w:val="18"/>
              </w:rPr>
              <w:t>Conexión</w:t>
            </w:r>
          </w:p>
        </w:tc>
        <w:tc>
          <w:tcPr>
            <w:tcW w:type="dxa" w:w="2154"/>
          </w:tcPr>
          <w:p>
            <w:pPr>
              <w:spacing w:after="20"/>
            </w:pPr>
            <w:r/>
            <w:r>
              <w:rPr>
                <w:sz w:val="18"/>
              </w:rPr>
              <w:t>El caso termina en sí mismo</w:t>
            </w:r>
          </w:p>
        </w:tc>
        <w:tc>
          <w:tcPr>
            <w:tcW w:type="dxa" w:w="3628"/>
          </w:tcPr>
          <w:p>
            <w:pPr>
              <w:spacing w:after="20"/>
            </w:pPr>
            <w:r/>
            <w:r>
              <w:rPr>
                <w:sz w:val="18"/>
              </w:rPr>
              <w:t>«…por eso, si se consolida (rama B), se hace por oleadas de dos sedes»</w:t>
            </w:r>
          </w:p>
        </w:tc>
        <w:tc>
          <w:tcPr>
            <w:tcW w:type="dxa" w:w="2154"/>
          </w:tcPr>
          <w:p>
            <w:pPr>
              <w:spacing w:after="20"/>
            </w:pPr>
            <w:r/>
            <w:r>
              <w:rPr>
                <w:sz w:val="18"/>
              </w:rPr>
              <w:t>El caso tiene que sostener una decisión.</w:t>
            </w:r>
          </w:p>
        </w:tc>
      </w:tr>
      <w:tr>
        <w:tc>
          <w:tcPr>
            <w:tcW w:type="dxa" w:w="1247"/>
          </w:tcPr>
          <w:p>
            <w:pPr>
              <w:spacing w:after="20"/>
            </w:pPr>
            <w:r/>
            <w:r>
              <w:rPr>
                <w:sz w:val="18"/>
              </w:rPr>
              <w:t>Cifra</w:t>
            </w:r>
          </w:p>
        </w:tc>
        <w:tc>
          <w:tcPr>
            <w:tcW w:type="dxa" w:w="2154"/>
          </w:tcPr>
          <w:p>
            <w:pPr>
              <w:spacing w:after="20"/>
            </w:pPr>
            <w:r/>
            <w:r>
              <w:rPr>
                <w:sz w:val="18"/>
              </w:rPr>
              <w:t>«Redujo 20 % los eventos adversos»</w:t>
            </w:r>
          </w:p>
        </w:tc>
        <w:tc>
          <w:tcPr>
            <w:tcW w:type="dxa" w:w="3628"/>
          </w:tcPr>
          <w:p>
            <w:pPr>
              <w:spacing w:after="20"/>
            </w:pPr>
            <w:r/>
            <w:r>
              <w:rPr>
                <w:sz w:val="18"/>
              </w:rPr>
              <w:t>«Reportó una reducción del 20 % (cifra autorreportada)»</w:t>
            </w:r>
          </w:p>
        </w:tc>
        <w:tc>
          <w:tcPr>
            <w:tcW w:type="dxa" w:w="2154"/>
          </w:tcPr>
          <w:p>
            <w:pPr>
              <w:spacing w:after="20"/>
            </w:pPr>
            <w:r/>
            <w:r>
              <w:rPr>
                <w:sz w:val="18"/>
              </w:rPr>
              <w:t>El lector tiene que saber quién la mide.</w:t>
            </w:r>
          </w:p>
        </w:tc>
      </w:tr>
    </w:tbl>
    <w:p>
      <w:pPr>
        <w:spacing w:after="40"/>
      </w:pPr>
    </w:p>
    <w:p>
      <w:pPr>
        <w:pStyle w:val="Heading1"/>
      </w:pPr>
      <w:r>
        <w:t>Referencias</w:t>
      </w:r>
    </w:p>
    <w:p>
      <w:pPr>
        <w:ind w:left="567" w:hanging="567"/>
      </w:pPr>
      <w:r>
        <w:t xml:space="preserve">Colombia, Congreso de la República. (2012). </w:t>
      </w:r>
      <w:r>
        <w:rPr>
          <w:i/>
        </w:rPr>
        <w:t>Ley 1581 de 2012, por la cual se dictan disposiciones generales para la protección de datos personales</w:t>
      </w:r>
      <w:r>
        <w:t>.</w:t>
      </w:r>
    </w:p>
    <w:p>
      <w:pPr>
        <w:ind w:left="567" w:hanging="567"/>
      </w:pPr>
      <w:r>
        <w:t xml:space="preserve">Colombia, Congreso de la República. (2020). </w:t>
      </w:r>
      <w:r>
        <w:rPr>
          <w:i/>
        </w:rPr>
        <w:t>Ley 2015 de 2020, por medio de la cual se crea la historia clínica electrónica interoperable</w:t>
      </w:r>
      <w:r>
        <w:t>.</w:t>
      </w:r>
    </w:p>
    <w:p>
      <w:pPr>
        <w:ind w:left="567" w:hanging="567"/>
      </w:pPr>
      <w:r>
        <w:t xml:space="preserve">HMT. (2018, 10 de octubre). </w:t>
      </w:r>
      <w:r>
        <w:rPr>
          <w:i/>
        </w:rPr>
        <w:t>Mayo Clinic completes installation of Epic electronic health record</w:t>
      </w:r>
      <w:r>
        <w:t>. Healthcare Innovation. https://www.hcinnovationgroup.com/clinical-it/electronic-health-record-electronic-medical-record-ehr-emr/article/13010956/mayo-clinic-completes-installation-of-epic-electronic-health-record</w:t>
      </w:r>
    </w:p>
    <w:p>
      <w:pPr>
        <w:ind w:left="567" w:hanging="567"/>
      </w:pPr>
      <w:r>
        <w:t xml:space="preserve">International Medical Informatics Association. (2015). </w:t>
      </w:r>
      <w:r>
        <w:rPr>
          <w:i/>
        </w:rPr>
        <w:t>Hospital Italiano de Buenos Aires</w:t>
      </w:r>
      <w:r>
        <w:t>. https://imia-medinfo.org/wp/hospital-italiano-de-buenos-aires/</w:t>
      </w:r>
    </w:p>
    <w:p>
      <w:pPr>
        <w:ind w:left="567" w:hanging="567"/>
      </w:pPr>
      <w:r>
        <w:t xml:space="preserve">Ministerio de Salud y Protección Social. (2021). </w:t>
      </w:r>
      <w:r>
        <w:rPr>
          <w:i/>
        </w:rPr>
        <w:t>Resolución 866 de 2021</w:t>
      </w:r>
      <w:r>
        <w:t>.</w:t>
      </w:r>
    </w:p>
    <w:p>
      <w:pPr>
        <w:ind w:left="567" w:hanging="567"/>
      </w:pPr>
      <w:r>
        <w:t xml:space="preserve">Ministerio de Salud y Protección Social. (2023). </w:t>
      </w:r>
      <w:r>
        <w:rPr>
          <w:i/>
        </w:rPr>
        <w:t>Resolución 2275 de 2023</w:t>
      </w:r>
      <w:r>
        <w:t>.</w:t>
      </w:r>
    </w:p>
    <w:p>
      <w:pPr>
        <w:ind w:left="567" w:hanging="567"/>
      </w:pPr>
      <w:r>
        <w:t xml:space="preserve">Ministerio de Salud y Protección Social. (2024). </w:t>
      </w:r>
      <w:r>
        <w:rPr>
          <w:i/>
        </w:rPr>
        <w:t>Resolución 1884 de 2024, por la cual se modifica la Resolución 2275 de 2023</w:t>
      </w:r>
      <w:r>
        <w:t>.</w:t>
      </w:r>
    </w:p>
    <w:p>
      <w:pPr>
        <w:ind w:left="567" w:hanging="567"/>
      </w:pPr>
      <w:r>
        <w:t xml:space="preserve">Ministerio de Salud y Protección Social. (2025). </w:t>
      </w:r>
      <w:r>
        <w:rPr>
          <w:i/>
        </w:rPr>
        <w:t>Resolución 1888 de 2025, por medio de la cual se adopta el Resumen Digital de Atención en Salud (RDA)</w:t>
      </w:r>
      <w:r>
        <w:t>.</w:t>
      </w:r>
    </w:p>
    <w:p>
      <w:pPr>
        <w:ind w:left="567" w:hanging="567"/>
      </w:pPr>
      <w:r>
        <w:t xml:space="preserve">Ministerio de Salud y Protección Social. (2026). </w:t>
      </w:r>
      <w:r>
        <w:rPr>
          <w:i/>
        </w:rPr>
        <w:t>Resolución 1644 de 2026, por la cual se establecen los requisitos y condiciones para la telesalud y la prestación de servicios en la modalidad de telemedicina</w:t>
      </w:r>
      <w:r>
        <w:t>.</w:t>
      </w:r>
    </w:p>
    <w:p>
      <w:pPr>
        <w:ind w:left="567" w:hanging="567"/>
      </w:pPr>
      <w:r>
        <w:t xml:space="preserve">Moreno González, N. (2026, 21 de enero). </w:t>
      </w:r>
      <w:r>
        <w:rPr>
          <w:i/>
        </w:rPr>
        <w:t>HIMSS recertifica al HIC en EMRAM 7: así sostiene el liderazgo en salud digital en Colombia</w:t>
      </w:r>
      <w:r>
        <w:t>. ConsultorSalud. https://consultorsalud.com/himss-recertifica-al-hic-en-emram-7-salud/</w:t>
      </w:r>
    </w:p>
    <w:p>
      <w:pPr>
        <w:ind w:left="567" w:hanging="567"/>
      </w:pPr>
      <w:r>
        <w:t xml:space="preserve">Weill, P., &amp; Woerner, S. L. (2018). </w:t>
      </w:r>
      <w:r>
        <w:rPr>
          <w:i/>
        </w:rPr>
        <w:t>What's your digital business model? Six questions to help you build the next-generation enterprise</w:t>
      </w:r>
      <w:r>
        <w:t>. Harvard Business Review Press.</w:t>
      </w:r>
    </w:p>
    <w:sectPr w:rsidR="00FC693F" w:rsidRPr="0006063C" w:rsidSect="00034616">
      <w:footerReference w:type="default" r:id="rId9"/>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5606E"/>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mbria" w:hAnsi="Cambria" w:eastAsia="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 w:eastAsiaTheme="majorEastAsia" w:hAnsiTheme="majorHAnsi" w:cstheme="majorBidi" w:ascii="Calibri" w:hAnsi="Calibr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 w:eastAsiaTheme="majorEastAsia" w:hAnsiTheme="majorHAnsi" w:cstheme="majorBidi" w:ascii="Calibri" w:hAnsi="Calibri"/>
      <w:b/>
      <w:bCs/>
      <w:color w:val="345A8A"/>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 w:eastAsiaTheme="majorEastAsia" w:hAnsiTheme="majorHAnsi" w:cstheme="majorBidi" w:ascii="Calibri" w:hAnsi="Calibri"/>
      <w:b/>
      <w:bCs/>
      <w:color w:val="345A8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