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0"/>
        </w:rPr>
        <w:t>Guía de las herramientas y los formatos</w:t>
      </w:r>
    </w:p>
    <w:p>
      <w:r>
        <w:rPr>
          <w:color w:val="345A8A"/>
          <w:sz w:val="25"/>
        </w:rPr>
        <w:t>Cómo leer las cuatro herramientas interactivas y cómo diligenciar los formatos F-29 a F-35, con Red Salud Andina</w:t>
      </w:r>
    </w:p>
    <w:p>
      <w:pPr>
        <w:spacing w:after="20"/>
      </w:pPr>
      <w:r>
        <w:rPr>
          <w:color w:val="55606E"/>
          <w:sz w:val="20"/>
        </w:rPr>
        <w:t>Curso Arquitectura Empresarial · Maestría en Ingeniería de Software · Universidad de La Sabana</w:t>
      </w:r>
    </w:p>
    <w:p>
      <w:pPr>
        <w:spacing w:after="20"/>
      </w:pPr>
      <w:r>
        <w:rPr>
          <w:color w:val="55606E"/>
          <w:sz w:val="20"/>
        </w:rPr>
        <w:t>Unidad 4 — Transformación Empresarial y Roadmaps Arquitectónicos</w:t>
      </w:r>
    </w:p>
    <w:p>
      <w:pPr>
        <w:spacing w:after="20"/>
      </w:pPr>
      <w:r>
        <w:rPr>
          <w:color w:val="55606E"/>
          <w:sz w:val="20"/>
        </w:rPr>
        <w:t>Octubre de 2026</w:t>
      </w:r>
    </w:p>
    <w:p/>
    <w:p>
      <w:pPr>
        <w:pStyle w:val="Heading1"/>
      </w:pPr>
      <w:r>
        <w:t>1. Las cuatro herramientas</w:t>
      </w:r>
    </w:p>
    <w:p>
      <w:r>
        <w:t xml:space="preserve">Se abren en el navegador y no requieren instalación ni conexión. Las cuatro traen precargado el caso de Red Salud Andina, un botón para empezar en blanco con el caso del grupo y un </w:t>
      </w:r>
      <w:r>
        <w:rPr>
          <w:b/>
        </w:rPr>
        <w:t>«Recorrido animado del caso»</w:t>
      </w:r>
      <w:r>
        <w:t xml:space="preserve"> que construye el ejemplo paso a paso, comete un error típico y muestra cómo se corrige. Al salir del recorrido, la herramienta vuelve a lo que el grupo tenía en pantalla. Todas generan texto para copiar en la propuesta.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92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Herramienta</w:t>
            </w:r>
          </w:p>
        </w:tc>
        <w:tc>
          <w:tcPr>
            <w:tcW w:type="dxa" w:w="4309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Qué hace</w:t>
            </w:r>
          </w:p>
        </w:tc>
        <w:tc>
          <w:tcPr>
            <w:tcW w:type="dxa" w:w="1247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Formato</w:t>
            </w:r>
          </w:p>
        </w:tc>
        <w:tc>
          <w:tcPr>
            <w:tcW w:type="dxa" w:w="1701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Sección de la propuesta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9"/>
              </w:rPr>
              <w:t>Matriz de brechas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9"/>
              </w:rPr>
              <w:t>Brechas por dominio con su tipo e iniciativa; marca las que no tienen iniciativa y las que dicen el TO-BE en tecnologías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9"/>
              </w:rPr>
              <w:t>F-32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9"/>
              </w:rPr>
              <w:t>4 y Anexo A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9"/>
              </w:rPr>
              <w:t>Priorizador de portafolio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9"/>
              </w:rPr>
              <w:t>Valor, riesgo y costo por iniciativa; barra del año 1 contra el presupuesto; matriz valor × riesgo; inversiones diferidas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9"/>
              </w:rPr>
              <w:t>F-33 · A y B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9"/>
              </w:rPr>
              <w:t>5.1 a 5.3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9"/>
              </w:rPr>
              <w:t>Constructor de roadmap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9"/>
              </w:rPr>
              <w:t>Las iniciativas en el tiempo, contra los hechos con fecha; resultados visibles y la decisión abierta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9"/>
              </w:rPr>
              <w:t>F-33 · C y D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9"/>
              </w:rPr>
              <w:t>5.4 a 5.6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9"/>
              </w:rPr>
              <w:t>Mapa del cambio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9"/>
              </w:rPr>
              <w:t>Grupos en la rejilla de poder e interés, con lo que pierden, su resistencia y sus acciones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9"/>
              </w:rPr>
              <w:t>F-34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9"/>
              </w:rPr>
              <w:t>6</w:t>
            </w:r>
          </w:p>
        </w:tc>
      </w:tr>
    </w:tbl>
    <w:p>
      <w:pPr>
        <w:spacing w:after="40"/>
      </w:pPr>
    </w:p>
    <w:p>
      <w:r>
        <w:rPr>
          <w:b/>
        </w:rPr>
        <w:t>Las tres primeras se pasan los datos.</w:t>
      </w:r>
      <w:r>
        <w:t xml:space="preserve"> La Matriz de brechas lleva sus iniciativas al Priorizador con un botón, y el Priorizador y el Constructor de roadmap trabajan sobre el </w:t>
      </w:r>
      <w:r>
        <w:rPr>
          <w:b/>
        </w:rPr>
        <w:t>mismo portafolio</w:t>
      </w:r>
      <w:r>
        <w:t>: lo que cambie en uno aparece en el otro. Los datos se guardan solo en el navegador de quien las usa; para compartirlos en el grupo, copien el texto que genera cada una.</w:t>
      </w:r>
    </w:p>
    <w:p>
      <w:pPr>
        <w:pStyle w:val="Heading1"/>
      </w:pPr>
      <w:r>
        <w:t>2. Matriz de brechas · F-32</w:t>
      </w:r>
    </w:p>
    <w:p>
      <w:pPr>
        <w:pStyle w:val="Heading2"/>
      </w:pPr>
      <w:r>
        <w:t>2.1 Cómo se lee</w:t>
      </w:r>
    </w:p>
    <w:p>
      <w:r>
        <w:t>Cuatro bloques, uno por dominio. Cada brecha pide lo que hay (AS-IS), lo que debe haber (TO-BE), el tipo —nuevo, transformar o eliminar—, la iniciativa que la cierra y de dónde sale: una brecha de la Unidad 1, deuda de la Unidad 2, el gobierno de la Unidad 3 o una nueva. La matriz de abajo cruza dominio y tipo; un código con borde rojo es una brecha sin iniciativa. La revisión avisa cuando el TO-BE está dicho en tecnologías o el AS-IS dice lo que falta en lugar de lo que hay.</w:t>
      </w:r>
    </w:p>
    <w:p>
      <w:pPr>
        <w:pStyle w:val="Heading2"/>
      </w:pPr>
      <w:r>
        <w:t>2.2 Recorrido con Red Salud Andina</w:t>
      </w:r>
    </w:p>
    <w:p>
      <w:pPr>
        <w:spacing w:after="28"/>
        <w:ind w:left="454" w:hanging="283"/>
      </w:pPr>
      <w:r>
        <w:t>1. Se empieza por un hecho del AS-IS: FACT-SALUD lee tablas de HIS-CORE sin contrato. Enfrente, el TO-BE: interfaz publicada y versionada, con pruebas de contrato.</w:t>
      </w:r>
    </w:p>
    <w:p>
      <w:pPr>
        <w:spacing w:after="28"/>
        <w:ind w:left="454" w:hanging="283"/>
      </w:pPr>
      <w:r>
        <w:t>2. Tipo: eliminar. La brecha aparece en su celda con borde rojo hasta que tiene iniciativa: A2.</w:t>
      </w:r>
    </w:p>
    <w:p>
      <w:pPr>
        <w:spacing w:after="28"/>
        <w:ind w:left="454" w:hanging="283"/>
      </w:pPr>
      <w:r>
        <w:t>3. El error que el recorrido comete a propósito: un TO-BE «Microservicios y lago de datos» sin iniciativa. La revisión lo bloquea.</w:t>
      </w:r>
    </w:p>
    <w:p>
      <w:pPr>
        <w:spacing w:after="28"/>
        <w:ind w:left="454" w:hanging="283"/>
      </w:pPr>
      <w:r>
        <w:t>4. La matriz completa: 17 brechas. Datos no elimina nada; aplicaciones es la que más elimina; la más urgente es G-N2.</w:t>
      </w:r>
    </w:p>
    <w:p>
      <w:pPr>
        <w:pStyle w:val="Heading2"/>
      </w:pPr>
      <w:r>
        <w:t>2.3 El F-32, campo por campo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361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3175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Qué lo invalida</w:t>
            </w:r>
          </w:p>
        </w:tc>
        <w:tc>
          <w:tcPr>
            <w:tcW w:type="dxa" w:w="4649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Fila resuelta (Red Salud Andina)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8"/>
              </w:rPr>
              <w:t>AS-IS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Decir lo que falta («falta integración») en lugar de lo que hay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8"/>
              </w:rPr>
              <w:t>FACT-SALUD lee tablas de HIS-CORE sin contrato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8"/>
              </w:rPr>
              <w:t>TO-BE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Una tecnología («API gateway») en lugar de una capacidad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8"/>
              </w:rPr>
              <w:t>Interfaz publicada y versionada, con pruebas de contrato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8"/>
              </w:rPr>
              <w:t>Tipo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Todo «nuevo»: ¿no hay nada que quitar?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8"/>
              </w:rPr>
              <w:t>Eliminar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8"/>
              </w:rPr>
              <w:t>Iniciativa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Vacía: una brecha sin iniciativa es un deseo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8"/>
              </w:rPr>
              <w:t>A2</w:t>
            </w:r>
          </w:p>
        </w:tc>
      </w:tr>
    </w:tbl>
    <w:p>
      <w:pPr>
        <w:spacing w:after="40"/>
      </w:pPr>
    </w:p>
    <w:p>
      <w:pPr>
        <w:pStyle w:val="Heading1"/>
      </w:pPr>
      <w:r>
        <w:t>3. Priorizador de portafolio · F-33, partes A y B</w:t>
      </w:r>
    </w:p>
    <w:p>
      <w:pPr>
        <w:pStyle w:val="Heading2"/>
      </w:pPr>
      <w:r>
        <w:t>3.1 Cómo se lee</w:t>
      </w:r>
    </w:p>
    <w:p>
      <w:r>
        <w:t>Arriba se fija la restricción: lo que TI estima para el año 1 y lo aprobado, en UC (1 UC es el 1 % de lo que TI estima). Cada iniciativa pide horizonte, valor, riesgo, costo total y la parte del costo que cae en el año 1. La barra del año 1 se llena en orden; si se pasa del tope, lo que sobra se pinta en rojo y la revisión lo bloquea. La matriz valor × riesgo ubica cada iniciativa por su valor y su riesgo, con un círculo del tamaño de su costo: al cambiarle el valor o el riesgo, se ve moverse. El botón «Diferir» pasa una iniciativa a la tabla de lo que no cabe, que exige decir por qué puede esperar.</w:t>
      </w:r>
    </w:p>
    <w:p>
      <w:pPr>
        <w:pStyle w:val="Heading2"/>
      </w:pPr>
      <w:r>
        <w:t>3.2 Escalas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701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Dimensión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Nivel</w:t>
            </w:r>
          </w:p>
        </w:tc>
        <w:tc>
          <w:tcPr>
            <w:tcW w:type="dxa" w:w="657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Criterio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  <w:t>Valor de negocio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Alto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sz w:val="18"/>
              </w:rPr>
              <w:t>Realiza una apuesta de la estrategia o quita un riesgo que puede detener la operación, la facturación o el cumplimiento normativo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  <w:t>Valor de negocio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Medio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sz w:val="18"/>
              </w:rPr>
              <w:t>Mejora una capacidad que ya funciona o es condición de otra iniciativa de valor alto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  <w:t>Valor de negocio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Bajo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sz w:val="18"/>
              </w:rPr>
              <w:t>Mejora deseable que ninguna apuesta exige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  <w:t>Riesgo técnico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Alto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sz w:val="18"/>
              </w:rPr>
              <w:t>Toca la operación asistencial, depende de un tercero no verificado o de conocimiento que hoy tienen una o dos personas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  <w:t>Riesgo técnico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Medio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sz w:val="18"/>
              </w:rPr>
              <w:t>Cambia una integración o un sistema crítico, con alternativa de retorno conocida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  <w:t>Riesgo técnico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Bajo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sz w:val="18"/>
              </w:rPr>
              <w:t>No toca sistemas críticos o es sobre todo organizacional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  <w:t>Costo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UC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sz w:val="18"/>
              </w:rPr>
              <w:t>Unidad de costo relativo: 1 UC es el 1 % de lo que TI estima necesario para el año 1. Se estima por comparación entre iniciativas, no con cotizaciones</w:t>
            </w:r>
          </w:p>
        </w:tc>
      </w:tr>
    </w:tbl>
    <w:p>
      <w:pPr>
        <w:spacing w:after="40"/>
      </w:pPr>
    </w:p>
    <w:p>
      <w:pPr>
        <w:pStyle w:val="Heading2"/>
      </w:pPr>
      <w:r>
        <w:t>3.3 Recorrido con Red Salud Andina</w:t>
      </w:r>
    </w:p>
    <w:p>
      <w:pPr>
        <w:spacing w:after="28"/>
        <w:ind w:left="454" w:hanging="283"/>
      </w:pPr>
      <w:r>
        <w:t>1. La restricción: TI estima 100 UC; hay 50.</w:t>
      </w:r>
    </w:p>
    <w:p>
      <w:pPr>
        <w:spacing w:after="28"/>
        <w:ind w:left="454" w:hanging="283"/>
      </w:pPr>
      <w:r>
        <w:t>2. Entra T+0 completo (29 UC) y el arranque de T+1 (21 UC): justo el tope.</w:t>
      </w:r>
    </w:p>
    <w:p>
      <w:pPr>
        <w:spacing w:after="28"/>
        <w:ind w:left="454" w:hanging="283"/>
      </w:pPr>
      <w:r>
        <w:t>3. El error a propósito: meter el sitio alterno (15 UC) en el año 1. La barra se desborda en rojo.</w:t>
      </w:r>
    </w:p>
    <w:p>
      <w:pPr>
        <w:spacing w:after="28"/>
        <w:ind w:left="454" w:hanging="283"/>
      </w:pPr>
      <w:r>
        <w:t>4. La corrección: diferirlo con su razón — en el año 1 se prueba el plan de recuperación y el modo degradado (T3), que cubre el riesgo de P1 a una fracción del costo. Después, las otras cinco inversiones diferidas.</w:t>
      </w:r>
    </w:p>
    <w:p>
      <w:pPr>
        <w:pStyle w:val="Heading2"/>
      </w:pPr>
      <w:r>
        <w:t>3.4 El F-33, partes A y B, campo por campo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587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2835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Qué lo invalida</w:t>
            </w:r>
          </w:p>
        </w:tc>
        <w:tc>
          <w:tcPr>
            <w:tcW w:type="dxa" w:w="4762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Fila resuelta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Valor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Todo alto, o sin criterio escrito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8"/>
              </w:rPr>
              <w:t>A2 · alto: quita un riesgo que puede detener la facturación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Riesgo técnico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Confundirlo con el riesgo del negocio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8"/>
              </w:rPr>
              <w:t>A2 · medio: cambia una integración crítica, con retorno conocido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UC año 1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Mayor que el costo total; en T+2, distinta de cero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8"/>
              </w:rPr>
              <w:t>A2 · 5 de 5 (va completa en T+0)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Depende de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Una iniciativa que va en un horizonte posterior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8"/>
              </w:rPr>
              <w:t>A2 depende de K1: hay que saber qué lee FACT-SALUD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Inversión diferida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Sin razón, o «por falta de presupuesto»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8"/>
              </w:rPr>
              <w:t>X1 · Sitio alterno completo → T+2 (T4): En el año 1 se prueba el plan de recuperación y el modo degradado (T3), que cubre el riesgo de P1 a una fracción del costo</w:t>
            </w:r>
          </w:p>
        </w:tc>
      </w:tr>
    </w:tbl>
    <w:p>
      <w:pPr>
        <w:spacing w:after="40"/>
      </w:pPr>
    </w:p>
    <w:p>
      <w:pPr>
        <w:pStyle w:val="Heading1"/>
      </w:pPr>
      <w:r>
        <w:t>4. Constructor de roadmap · F-33, partes C y D</w:t>
      </w:r>
    </w:p>
    <w:p>
      <w:pPr>
        <w:pStyle w:val="Heading2"/>
      </w:pPr>
      <w:r>
        <w:t>4.1 Cómo se lee</w:t>
      </w:r>
    </w:p>
    <w:p>
      <w:r>
        <w:t xml:space="preserve">Un diagrama de Gantt de 36 meses con los tres horizontes de fondo. Las barras se </w:t>
      </w:r>
      <w:r>
        <w:rPr>
          <w:b/>
        </w:rPr>
        <w:t>arrastran</w:t>
      </w:r>
      <w:r>
        <w:t xml:space="preserve"> para moverlas y se estiran desde el borde derecho; con el teclado, ← y → las mueven y Mayús + ← → cambian la duración. Las líneas rojas son hechos que la organización no controla; si un hecho dice qué iniciativa tiene que terminar antes, la revisión vigila que así sea. Debajo, los resultados visibles; y si hay una decisión abierta, un rombo en su mes con las dos ramas. Una barra que rompe una regla —empieza antes que aquella de la que depende, o termina después de una fecha ajena— se marca en rojo.</w:t>
      </w:r>
    </w:p>
    <w:p>
      <w:pPr>
        <w:pStyle w:val="Heading2"/>
      </w:pPr>
      <w:r>
        <w:t>4.2 Recorrido con Red Salud Andina</w:t>
      </w:r>
    </w:p>
    <w:p>
      <w:pPr>
        <w:spacing w:after="28"/>
        <w:ind w:left="454" w:hanging="283"/>
      </w:pPr>
      <w:r>
        <w:t>1. Primero los hechos con fecha: mes 0, plazo del RDA vencido (15 de abril de 2026); mes 4, vence la excepción de PORTAL-B2B; mes 11, se pensiona un desarrollador de HIS-CORE; mes 12, vence el contrato de HIS-NORTE.</w:t>
      </w:r>
    </w:p>
    <w:p>
      <w:pPr>
        <w:spacing w:after="28"/>
        <w:ind w:left="454" w:hanging="283"/>
      </w:pPr>
      <w:r>
        <w:t>2. T+0, T+1 y T+2, horizonte por horizonte; cada iniciativa empieza después de aquella de la que depende.</w:t>
      </w:r>
    </w:p>
    <w:p>
      <w:pPr>
        <w:spacing w:after="28"/>
        <w:ind w:left="454" w:hanging="283"/>
      </w:pPr>
      <w:r>
        <w:t>3. El error a propósito: correr K1 a los meses 4 a 13. Termina después de la pensión y arrastra a A2, que depende de K1.</w:t>
      </w:r>
    </w:p>
    <w:p>
      <w:pPr>
        <w:spacing w:after="28"/>
        <w:ind w:left="454" w:hanging="283"/>
      </w:pPr>
      <w:r>
        <w:t>4. Los resultados visibles, uno cada seis meses como mínimo, y la decisión A/B del mes 18 con sus cinco criterios.</w:t>
      </w:r>
    </w:p>
    <w:p>
      <w:pPr>
        <w:pStyle w:val="Heading2"/>
      </w:pPr>
      <w:r>
        <w:t>4.3 El F-33, partes C y D, campo por campo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701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2721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Qué lo invalida</w:t>
            </w:r>
          </w:p>
        </w:tc>
        <w:tc>
          <w:tcPr>
            <w:tcW w:type="dxa" w:w="4762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Fila resuelta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  <w:t>Resultado visible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sz w:val="18"/>
              </w:rPr>
              <w:t>Que solo lo pueda comprobar TI, o que no tenga mes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8"/>
              </w:rPr>
              <w:t>Mes 6: Un cambio de esquema en HIS-CORE ya no detiene la facturación; 18 sedes y la clínica envían el RDA — Dirección financiera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  <w:t>Hecho con fecha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sz w:val="18"/>
              </w:rPr>
              <w:t>Una fecha que sí depende de la organización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8"/>
              </w:rPr>
              <w:t>Mes 11: Se pensiona un desarrollador de HIS-CORE → K1 termina antes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  <w:t>Criterio de la decisión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sz w:val="18"/>
              </w:rPr>
              <w:t>Sin umbral: la decisión se tomaría por intuición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8"/>
              </w:rPr>
              <w:t>C1 · Identidad confiable · Error de conciliación del índice maestro en las 24 sedes · ≤ 1 %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  <w:t>Regla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sz w:val="18"/>
              </w:rPr>
              <w:t>No decir qué pasa si un criterio falla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8"/>
              </w:rPr>
              <w:t>Regla: C1, C2 y C3 son condiciones de entrada: si alguna no se cumple, consolidar es trasladar el riesgo, no quitarlo, y se sigue en A con revisión en el mes 30. Si las tres se cumplen, se consolida (B) cuando se cumple C4 o C5.</w:t>
            </w:r>
          </w:p>
        </w:tc>
      </w:tr>
    </w:tbl>
    <w:p>
      <w:pPr>
        <w:spacing w:after="40"/>
      </w:pPr>
    </w:p>
    <w:p>
      <w:pPr>
        <w:pStyle w:val="Heading1"/>
      </w:pPr>
      <w:r>
        <w:t>5. Mapa del cambio · F-34</w:t>
      </w:r>
    </w:p>
    <w:p>
      <w:pPr>
        <w:pStyle w:val="Heading2"/>
      </w:pPr>
      <w:r>
        <w:t>5.1 Cómo se lee</w:t>
      </w:r>
    </w:p>
    <w:p>
      <w:r>
        <w:t>Cada grupo es un punto en la rejilla de poder (para frenar el cambio) e interés (cuánto lo afecta); se arrastra a su lugar o se mueve con las flechas del teclado. El color dice su cobertura: verde si tiene comunicación y capacitación, ámbar si le falta una, rojo si no tiene acciones. Debajo, una ficha por grupo y los mecanismos contra la fatiga de programa. La revisión bloquea un grupo «sin resistencia» y un grupo de poder o interés alto sin comunicación, y exige capacitación en al menos un grupo, como pide la rúbrica.</w:t>
      </w:r>
    </w:p>
    <w:p>
      <w:pPr>
        <w:pStyle w:val="Heading2"/>
      </w:pPr>
      <w:r>
        <w:t>5.2 Recorrido con Red Salud Andina</w:t>
      </w:r>
    </w:p>
    <w:p>
      <w:pPr>
        <w:spacing w:after="28"/>
        <w:ind w:left="454" w:hanging="283"/>
      </w:pPr>
      <w:r>
        <w:t>1. La historia: dos programas cerrados sin cumplir su alcance, en 2016 y 2021.</w:t>
      </w:r>
    </w:p>
    <w:p>
      <w:pPr>
        <w:spacing w:after="28"/>
        <w:ind w:left="454" w:hanging="283"/>
      </w:pPr>
      <w:r>
        <w:t>2. Los 9 grupos del dossier en la rejilla; después, qué pierde cada uno y su resistencia.</w:t>
      </w:r>
    </w:p>
    <w:p>
      <w:pPr>
        <w:spacing w:after="28"/>
        <w:ind w:left="454" w:hanging="283"/>
      </w:pPr>
      <w:r>
        <w:t>3. Las acciones de comunicación y capacitación, con fecha y responsable: los puntos pasan a verde o ámbar.</w:t>
      </w:r>
    </w:p>
    <w:p>
      <w:pPr>
        <w:spacing w:after="28"/>
        <w:ind w:left="454" w:hanging="283"/>
      </w:pPr>
      <w:r>
        <w:t>4. El error a propósito: escribir que el personal de admisión «apoya el cambio». Su resistencia real es seguir conciliando «por si acaso», y la acción dice desde el principio qué pasa con su trabajo.</w:t>
      </w:r>
    </w:p>
    <w:p>
      <w:pPr>
        <w:pStyle w:val="Heading2"/>
      </w:pPr>
      <w:r>
        <w:t>5.3 El F-34, campo por campo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814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260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Qué lo invalida</w:t>
            </w:r>
          </w:p>
        </w:tc>
        <w:tc>
          <w:tcPr>
            <w:tcW w:type="dxa" w:w="4762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Fila resuelta (Dirección financiera)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Qué pierde o teme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Vacío: todos pierden algo con un cambio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8"/>
              </w:rPr>
              <w:t>Invertir sin retorno en el año fiscal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Resistencia esperada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«Ninguna» o «apoya»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8"/>
              </w:rPr>
              <w:t>Aprobar solo lo que muestra ahorro en 12 meses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Comunicación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Genérica («informar avances»)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8"/>
              </w:rPr>
              <w:t>Tablero de glosa desde D3; cada tramo se aprueba contra el hito anterior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Cuándo y responsable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Sin fecha o sin nombre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8"/>
              </w:rPr>
              <w:t>Antes de cada tramo · CIO</w:t>
            </w:r>
          </w:p>
        </w:tc>
      </w:tr>
    </w:tbl>
    <w:p>
      <w:pPr>
        <w:spacing w:after="40"/>
      </w:pPr>
    </w:p>
    <w:p>
      <w:pPr>
        <w:pStyle w:val="Heading1"/>
      </w:pPr>
      <w:r>
        <w:t>6. Los formatos que no tienen herramienta</w:t>
      </w:r>
    </w:p>
    <w:p>
      <w:pPr>
        <w:pStyle w:val="Heading2"/>
      </w:pPr>
      <w:r>
        <w:t>6.1 F-30 y F-31 · AS-IS y TO-BE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587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2154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Así no</w:t>
            </w:r>
          </w:p>
        </w:tc>
        <w:tc>
          <w:tcPr>
            <w:tcW w:type="dxa" w:w="328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Así sí</w:t>
            </w:r>
          </w:p>
        </w:tc>
        <w:tc>
          <w:tcPr>
            <w:tcW w:type="dxa" w:w="2154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Por qué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Modelo operativo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8"/>
              </w:rPr>
              <w:t>«La organización es moderna y ágil»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8"/>
              </w:rPr>
              <w:t>Replicación hoy; unificación solo en tres dominios de datos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8"/>
              </w:rPr>
              <w:t>Se ubica en un cuadrante, con evidencia.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Capacidades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8"/>
              </w:rPr>
              <w:t>Unas en el AS-IS y otras en el TO-BE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8"/>
              </w:rPr>
              <w:t>Las mismas nueve capacidades en los dos, con su soporte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8"/>
              </w:rPr>
              <w:t>Si no son las mismas, no se pueden comparar.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TO-BE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8"/>
              </w:rPr>
              <w:t>«Microservicios, lago de datos y nube»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8"/>
              </w:rPr>
              <w:t>«Una identidad única del paciente en las 24 sedes»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8"/>
              </w:rPr>
              <w:t>El TO-BE se dice en capacidades.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Vistas ArchiMate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8"/>
              </w:rPr>
              <w:t>Cuatro dibujos sueltos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8"/>
              </w:rPr>
              <w:t>Las vistas comparten elementos y marcan lo nuevo, lo transformado y lo que no cambia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8"/>
              </w:rPr>
              <w:t>La coherencia entre AS-IS y TO-BE se ve en las vistas.</w:t>
            </w:r>
          </w:p>
        </w:tc>
      </w:tr>
    </w:tbl>
    <w:p>
      <w:pPr>
        <w:spacing w:after="40"/>
      </w:pPr>
    </w:p>
    <w:p>
      <w:pPr>
        <w:pStyle w:val="Heading2"/>
      </w:pPr>
      <w:r>
        <w:t>6.2 F-35 · Resumen ejecutivo y presentación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2154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Así no</w:t>
            </w:r>
          </w:p>
        </w:tc>
        <w:tc>
          <w:tcPr>
            <w:tcW w:type="dxa" w:w="3515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Así sí</w:t>
            </w:r>
          </w:p>
        </w:tc>
        <w:tc>
          <w:tcPr>
            <w:tcW w:type="dxa" w:w="2041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Por qué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Dónde estamos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8"/>
              </w:rPr>
              <w:t>«Existen oportunidades de mejora en la integración»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8"/>
              </w:rPr>
              <w:t>«Un paciente puede figurar como dos personas: la conciliación falla en el 6 % de los casos»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La dirección entiende cifras y consecuencias, no siglas.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Cuánto cuesta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8"/>
              </w:rPr>
              <w:t>«Se requiere una inversión importante»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8"/>
              </w:rPr>
              <w:t>«El año 1 cabe en el presupuesto aprobado: 50 de las 100 unidades pedidas»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Relativo, pero concreto.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Qué se pide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8"/>
              </w:rPr>
              <w:t>«Esperamos su apoyo»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8"/>
              </w:rPr>
              <w:t>«Aprobar el primer tramo; autorizar la renegociación del contrato; nombrar al Consejo de Arquitectura»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Un comité decide cosas concretas.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Presentación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8"/>
              </w:rPr>
              <w:t>Leer el documento en 25 diapositivas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8"/>
              </w:rPr>
              <w:t>Diez minutos, diez diapositivas, una decisión pedida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El comité interrumpe: preparen tres preguntas difíciles.</w:t>
            </w:r>
          </w:p>
        </w:tc>
      </w:tr>
    </w:tbl>
    <w:p>
      <w:pPr>
        <w:spacing w:after="40"/>
      </w:pPr>
    </w:p>
    <w:p>
      <w:r>
        <w:t>El F-29 se trabaja con la Guía de la Actividad 4.1.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606E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" w:eastAsiaTheme="majorEastAsia" w:hAnsiTheme="majorHAnsi" w:cstheme="majorBidi" w:ascii="Calibri" w:hAnsi="Calibri"/>
      <w:b/>
      <w:bCs/>
      <w:color w:val="345A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" w:eastAsiaTheme="majorEastAsia" w:hAnsiTheme="majorHAnsi" w:cstheme="majorBidi" w:ascii="Calibri" w:hAnsi="Calibri"/>
      <w:b/>
      <w:bCs/>
      <w:color w:val="345A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