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40"/>
        </w:rPr>
        <w:t>Propuesta de transformación arquitectónica · Ejemplo resuelto</w:t>
      </w:r>
    </w:p>
    <w:p>
      <w:r>
        <w:rPr>
          <w:color w:val="345A8A"/>
          <w:sz w:val="25"/>
        </w:rPr>
        <w:t>Actividad 4.2 · Proyecto integrador de transformación empresarial · Caso: Red Salud Andina</w:t>
      </w:r>
    </w:p>
    <w:p>
      <w:pPr>
        <w:spacing w:after="20"/>
      </w:pPr>
      <w:r>
        <w:rPr>
          <w:color w:val="55606E"/>
          <w:sz w:val="20"/>
        </w:rPr>
        <w:t>Curso Arquitectura Empresarial · Maestría en Ingeniería de Software · Universidad de La Sabana</w:t>
      </w:r>
    </w:p>
    <w:p>
      <w:pPr>
        <w:spacing w:after="20"/>
      </w:pPr>
      <w:r>
        <w:rPr>
          <w:color w:val="55606E"/>
          <w:sz w:val="20"/>
        </w:rPr>
        <w:t>Unidad 4 — Transformación Empresarial y Roadmaps Arquitectónicos · Octubre de 2026</w:t>
      </w:r>
    </w:p>
    <w:p>
      <w:r>
        <w:rPr>
          <w:i/>
          <w:color w:val="55606E"/>
          <w:sz w:val="19"/>
        </w:rPr>
        <w:t>Material de ejemplo del curso. Red Salud Andina es una organización simulada.</w:t>
      </w:r>
    </w:p>
    <w:p/>
    <w:tbl>
      <w:tblPr>
        <w:tblW w:type="auto" w:w="0"/>
        <w:tblLook w:firstColumn="1" w:firstRow="1" w:lastColumn="0" w:lastRow="0" w:noHBand="0" w:noVBand="1" w:val="04A0"/>
      </w:tblPr>
      <w:tblGrid>
        <w:gridCol w:w="9406"/>
      </w:tblGrid>
      <w:tr>
        <w:trPr>
          <w:cantSplit w:val="true"/>
        </w:trPr>
        <w:tc>
          <w:tcPr>
            <w:tcW w:type="dxa" w:w="9406"/>
            <w:shd w:val="clear" w:color="auto" w:fill="EEF3FA"/>
            <w:tcBorders>
              <w:top w:val="nil"/>
              <w:bottom w:val="nil"/>
              <w:right w:val="nil"/>
              <w:left w:val="single" w:sz="24" w:color="C2622C"/>
            </w:tcBorders>
          </w:tcPr>
          <w:p>
            <w:r>
              <w:rPr>
                <w:b/>
                <w:sz w:val="20"/>
              </w:rPr>
              <w:t>Cómo usar este ejemplo.</w:t>
            </w:r>
            <w:r>
              <w:rPr>
                <w:sz w:val="20"/>
              </w:rPr>
              <w:t xml:space="preserve"> Así se ve una Actividad 4.2 terminada: resumen ejecutivo de dos páginas, AS-IS, TO-BE, análisis de brechas, roadmap T+0/T+1/T+2, gestión del cambio con casos reales del sector y referencias. Cada sección abre con un recuadro que dice qué hay que hacer en ella, en qué criterio de la rúbrica se califica y con qué formato del curso se prepara (F-30 a F-35). Los formatos no se suben: son el borrador de estas secciones. Este es el trabajo que cierra el curso, así que casi todo lo que contiene </w:t>
            </w:r>
            <w:r>
              <w:rPr>
                <w:b/>
                <w:sz w:val="20"/>
              </w:rPr>
              <w:t>ya lo produjeron en las unidades 1 a 3</w:t>
            </w:r>
            <w:r>
              <w:rPr>
                <w:sz w:val="20"/>
              </w:rPr>
              <w:t xml:space="preserve">: aquí se integra, no se empieza de cero. </w:t>
            </w:r>
            <w:r>
              <w:rPr>
                <w:b/>
                <w:sz w:val="20"/>
              </w:rPr>
              <w:t>De este ejemplo se copia la estructura, nunca el contenido.</w:t>
            </w:r>
          </w:p>
        </w:tc>
      </w:tr>
    </w:tbl>
    <w:p>
      <w:pPr>
        <w:spacing w:after="40"/>
      </w:pPr>
    </w:p>
    <w:p>
      <w:pPr>
        <w:pStyle w:val="Heading1"/>
      </w:pPr>
      <w:r>
        <w:t>Resumen ejecutivo</w:t>
      </w:r>
    </w:p>
    <w:tbl>
      <w:tblPr>
        <w:tblW w:type="auto" w:w="0"/>
        <w:tblLook w:firstColumn="1" w:firstRow="1" w:lastColumn="0" w:lastRow="0" w:noHBand="0" w:noVBand="1" w:val="04A0"/>
      </w:tblPr>
      <w:tblGrid>
        <w:gridCol w:w="9406"/>
      </w:tblGrid>
      <w:tr>
        <w:trPr>
          <w:cantSplit w:val="true"/>
        </w:trPr>
        <w:tc>
          <w:tcPr>
            <w:tcW w:type="dxa" w:w="9406"/>
            <w:shd w:val="clear" w:color="auto" w:fill="EEF3FA"/>
            <w:tcBorders>
              <w:top w:val="nil"/>
              <w:bottom w:val="nil"/>
              <w:right w:val="nil"/>
              <w:left w:val="single" w:sz="24" w:color="C2622C"/>
            </w:tcBorders>
          </w:tcPr>
          <w:p>
            <w:r>
              <w:rPr>
                <w:b/>
                <w:sz w:val="20"/>
              </w:rPr>
              <w:t>Qué hacer en esta sección.</w:t>
            </w:r>
            <w:r>
              <w:rPr>
                <w:sz w:val="20"/>
              </w:rPr>
              <w:t xml:space="preserve"> Dos páginas como máximo, para un comité de dirección que no va a leer el resto. Responden cuatro preguntas: dónde estamos, a dónde vamos, por qué camino y cuánto cuesta en términos relativos. Sin siglas técnicas (nada de «MPI», «outbox» o «ArchiMate»), con cifras del caso y terminando en la decisión que se le pide al comité. Se escribe al final, pero va primero.</w:t>
            </w:r>
          </w:p>
          <w:p>
            <w:r>
              <w:rPr>
                <w:b/>
                <w:sz w:val="19"/>
              </w:rPr>
              <w:t>Se califica en:</w:t>
            </w:r>
            <w:r>
              <w:rPr>
                <w:sz w:val="19"/>
              </w:rPr>
              <w:t xml:space="preserve"> Calidad ejecutiva del documento (0,5) · </w:t>
            </w:r>
            <w:r>
              <w:rPr>
                <w:b/>
                <w:sz w:val="19"/>
              </w:rPr>
              <w:t>Se prepara con:</w:t>
            </w:r>
            <w:r>
              <w:rPr>
                <w:sz w:val="19"/>
              </w:rPr>
              <w:t xml:space="preserve"> F-35 · </w:t>
            </w:r>
            <w:r>
              <w:rPr>
                <w:b/>
                <w:sz w:val="19"/>
              </w:rPr>
              <w:t>Cuándo:</w:t>
            </w:r>
            <w:r>
              <w:rPr>
                <w:sz w:val="19"/>
              </w:rPr>
              <w:t xml:space="preserve"> al final, cuando las demás secciones estén cerradas.</w:t>
            </w:r>
          </w:p>
          <w:p>
            <w:r>
              <w:rPr>
                <w:i/>
                <w:sz w:val="19"/>
              </w:rPr>
              <w:t>Este recuadro es una ayuda para leer el ejemplo: no va en su informe.</w:t>
            </w:r>
          </w:p>
        </w:tc>
      </w:tr>
    </w:tbl>
    <w:p>
      <w:pPr>
        <w:spacing w:after="40"/>
      </w:pPr>
    </w:p>
    <w:p>
      <w:r>
        <w:rPr>
          <w:b/>
        </w:rPr>
        <w:t>Dónde estamos.</w:t>
      </w:r>
      <w:r>
        <w:t xml:space="preserve"> Red Salud Andina prometió en «Andina 2029» una red integrada: historia clínica única, visión completa del paciente, telemedicina de primera línea, el doble de negocio de laboratorio con terceros y cero glosas por errores de información. Hoy es lo contrario: un mismo paciente puede figurar como dos personas (la conciliación falla en el 6 % de los casos), 9,4 de cada 100 pesos facturados vuelven glosados, las seis sedes compradas en 2024 trabajan con otro sistema y el sistema clínico principal lo conocen dos personas, una de las cuales se pensiona en noviembre de 2027.</w:t>
      </w:r>
    </w:p>
    <w:p>
      <w:r>
        <w:rPr>
          <w:b/>
        </w:rPr>
        <w:t>A dónde vamos.</w:t>
      </w:r>
      <w:r>
        <w:t xml:space="preserve"> No a «transformar todo», sino a compartir lo que las cinco apuestas necesitan compartir: una sola identidad del paciente, datos clínicos que viajan entre sedes y hacia el Ministerio, y una facturación que valida la información donde nace. Las sedes conservan su forma de trabajar, que ya funciona.</w:t>
      </w:r>
    </w:p>
    <w:p>
      <w:r>
        <w:rPr>
          <w:b/>
        </w:rPr>
        <w:t>Por qué camino.</w:t>
      </w:r>
      <w:r>
        <w:t xml:space="preserve"> Tres etapas, cada una con resultados que la dirección puede comprobar sin preguntarle a tecnología:</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2041"/>
            <w:shd w:val="clear" w:color="auto" w:fill="DCE6F2"/>
          </w:tcPr>
          <w:p>
            <w:pPr>
              <w:spacing w:after="20"/>
            </w:pPr>
            <w:r/>
            <w:r>
              <w:rPr>
                <w:b/>
                <w:sz w:val="19"/>
              </w:rPr>
              <w:t>Etapa</w:t>
            </w:r>
          </w:p>
        </w:tc>
        <w:tc>
          <w:tcPr>
            <w:tcW w:type="dxa" w:w="3969"/>
            <w:shd w:val="clear" w:color="auto" w:fill="DCE6F2"/>
          </w:tcPr>
          <w:p>
            <w:pPr>
              <w:spacing w:after="20"/>
            </w:pPr>
            <w:r/>
            <w:r>
              <w:rPr>
                <w:b/>
                <w:sz w:val="19"/>
              </w:rPr>
              <w:t>Qué se logra</w:t>
            </w:r>
          </w:p>
        </w:tc>
        <w:tc>
          <w:tcPr>
            <w:tcW w:type="dxa" w:w="3175"/>
            <w:shd w:val="clear" w:color="auto" w:fill="DCE6F2"/>
          </w:tcPr>
          <w:p>
            <w:pPr>
              <w:spacing w:after="20"/>
            </w:pPr>
            <w:r/>
            <w:r>
              <w:rPr>
                <w:b/>
                <w:sz w:val="19"/>
              </w:rPr>
              <w:t>Resultado visible</w:t>
            </w:r>
          </w:p>
        </w:tc>
      </w:tr>
      <w:tr>
        <w:tc>
          <w:tcPr>
            <w:tcW w:type="dxa" w:w="2041"/>
          </w:tcPr>
          <w:p>
            <w:pPr>
              <w:spacing w:after="20"/>
            </w:pPr>
            <w:r/>
            <w:r>
              <w:rPr>
                <w:sz w:val="19"/>
              </w:rPr>
              <w:t>Meses 1 a 6 · Estabilizar</w:t>
            </w:r>
          </w:p>
        </w:tc>
        <w:tc>
          <w:tcPr>
            <w:tcW w:type="dxa" w:w="3969"/>
          </w:tcPr>
          <w:p>
            <w:pPr>
              <w:spacing w:after="20"/>
            </w:pPr>
            <w:r/>
            <w:r>
              <w:rPr>
                <w:sz w:val="19"/>
              </w:rPr>
              <w:t>Se quitan los riesgos que pueden detener la facturación o la venta a terceros</w:t>
            </w:r>
          </w:p>
        </w:tc>
        <w:tc>
          <w:tcPr>
            <w:tcW w:type="dxa" w:w="3175"/>
          </w:tcPr>
          <w:p>
            <w:pPr>
              <w:spacing w:after="20"/>
            </w:pPr>
            <w:r/>
            <w:r>
              <w:rPr>
                <w:sz w:val="19"/>
              </w:rPr>
              <w:t>Un cambio en el sistema clínico ya no deja días sin facturar</w:t>
            </w:r>
          </w:p>
        </w:tc>
      </w:tr>
      <w:tr>
        <w:tc>
          <w:tcPr>
            <w:tcW w:type="dxa" w:w="2041"/>
          </w:tcPr>
          <w:p>
            <w:pPr>
              <w:spacing w:after="20"/>
            </w:pPr>
            <w:r/>
            <w:r>
              <w:rPr>
                <w:sz w:val="19"/>
              </w:rPr>
              <w:t>Meses 7 a 18 · Habilitar</w:t>
            </w:r>
          </w:p>
        </w:tc>
        <w:tc>
          <w:tcPr>
            <w:tcW w:type="dxa" w:w="3969"/>
          </w:tcPr>
          <w:p>
            <w:pPr>
              <w:spacing w:after="20"/>
            </w:pPr>
            <w:r/>
            <w:r>
              <w:rPr>
                <w:sz w:val="19"/>
              </w:rPr>
              <w:t>Un solo registro del paciente en toda la red; cumplimiento de la norma de historia clínica interoperable; la glosa empieza a bajar</w:t>
            </w:r>
          </w:p>
        </w:tc>
        <w:tc>
          <w:tcPr>
            <w:tcW w:type="dxa" w:w="3175"/>
          </w:tcPr>
          <w:p>
            <w:pPr>
              <w:spacing w:after="20"/>
            </w:pPr>
            <w:r/>
            <w:r>
              <w:rPr>
                <w:sz w:val="19"/>
              </w:rPr>
              <w:t>La historia de un paciente del norte aparece en la clínica; glosa ≤ 6,5 %</w:t>
            </w:r>
          </w:p>
        </w:tc>
      </w:tr>
      <w:tr>
        <w:tc>
          <w:tcPr>
            <w:tcW w:type="dxa" w:w="2041"/>
          </w:tcPr>
          <w:p>
            <w:pPr>
              <w:spacing w:after="20"/>
            </w:pPr>
            <w:r/>
            <w:r>
              <w:rPr>
                <w:sz w:val="19"/>
              </w:rPr>
              <w:t>Meses 19 a 36 · Diferenciar</w:t>
            </w:r>
          </w:p>
        </w:tc>
        <w:tc>
          <w:tcPr>
            <w:tcW w:type="dxa" w:w="3969"/>
          </w:tcPr>
          <w:p>
            <w:pPr>
              <w:spacing w:after="20"/>
            </w:pPr>
            <w:r/>
            <w:r>
              <w:rPr>
                <w:sz w:val="19"/>
              </w:rPr>
              <w:t>Visión completa del paciente para decidir; venta a terceros en semanas; operación que sobrevive a la pérdida del centro de datos</w:t>
            </w:r>
          </w:p>
        </w:tc>
        <w:tc>
          <w:tcPr>
            <w:tcW w:type="dxa" w:w="3175"/>
          </w:tcPr>
          <w:p>
            <w:pPr>
              <w:spacing w:after="20"/>
            </w:pPr>
            <w:r/>
            <w:r>
              <w:rPr>
                <w:sz w:val="19"/>
              </w:rPr>
              <w:t>Tablero de dirección con una sola cifra</w:t>
            </w:r>
          </w:p>
        </w:tc>
      </w:tr>
    </w:tbl>
    <w:p>
      <w:pPr>
        <w:spacing w:after="40"/>
      </w:pPr>
    </w:p>
    <w:p>
      <w:r>
        <w:rPr>
          <w:i/>
          <w:sz w:val="19"/>
        </w:rPr>
        <w:t>Tabla 1.</w:t>
      </w:r>
      <w:r>
        <w:rPr>
          <w:sz w:val="19"/>
        </w:rPr>
        <w:t xml:space="preserve"> Las tres etapas del plan, contadas para la dirección.</w:t>
      </w:r>
    </w:p>
    <w:p>
      <w:r>
        <w:rPr>
          <w:b/>
        </w:rPr>
        <w:t>Cuánto cuesta.</w:t>
      </w:r>
      <w:r>
        <w:t xml:space="preserve"> El año 1 cabe en el presupuesto aprobado, que es la mitad de lo que tecnología estima necesario: de 100 unidades pedidas, se usan 50. Para lograrlo se aplazan seis inversiones —entre ellas el sitio alterno y la nueva aplicación del paciente— y se dice por qué cada una puede esperar. El área de tecnología no crece: se reorganiza su tiempo.</w:t>
      </w:r>
    </w:p>
    <w:p>
      <w:r>
        <w:rPr>
          <w:b/>
        </w:rPr>
        <w:t>Qué no se promete.</w:t>
      </w:r>
      <w:r>
        <w:t xml:space="preserve"> Este plan no decide hoy si se apaga el sistema de las sedes del norte. Esa decisión se toma en el mes 18, con cinco condiciones medidas, porque decidirla hoy sería repetir el error de los programas de 2016 y 2021: prometer a tres años lo que no se sabe.</w:t>
      </w:r>
    </w:p>
    <w:p>
      <w:r>
        <w:rPr>
          <w:b/>
        </w:rPr>
        <w:t>Qué se le pide al comité.</w:t>
      </w:r>
      <w:r>
        <w:t xml:space="preserve"> (1) Aprobar el primer tramo, los meses 1 a 6, por 29 de las 50 unidades del año; (2) autorizar la renegociación del contrato del sistema del norte al vencer, en diciembre de 2027, por un plazo corto con cláusula de salida; y (3) nombrar al Consejo de Arquitectura como responsable de gobernar el plan.</w:t>
      </w:r>
    </w:p>
    <w:p>
      <w:r>
        <w:br w:type="page"/>
      </w:r>
    </w:p>
    <w:p>
      <w:pPr>
        <w:pStyle w:val="Heading1"/>
      </w:pPr>
      <w:r>
        <w:t>1. Contexto, alcance y método</w:t>
      </w:r>
    </w:p>
    <w:tbl>
      <w:tblPr>
        <w:tblW w:type="auto" w:w="0"/>
        <w:tblLook w:firstColumn="1" w:firstRow="1" w:lastColumn="0" w:lastRow="0" w:noHBand="0" w:noVBand="1" w:val="04A0"/>
      </w:tblPr>
      <w:tblGrid>
        <w:gridCol w:w="9406"/>
      </w:tblGrid>
      <w:tr>
        <w:trPr>
          <w:cantSplit w:val="true"/>
        </w:trPr>
        <w:tc>
          <w:tcPr>
            <w:tcW w:type="dxa" w:w="9406"/>
            <w:shd w:val="clear" w:color="auto" w:fill="EEF3FA"/>
            <w:tcBorders>
              <w:top w:val="nil"/>
              <w:bottom w:val="nil"/>
              <w:right w:val="nil"/>
              <w:left w:val="single" w:sz="24" w:color="C2622C"/>
            </w:tcBorders>
          </w:tcPr>
          <w:p>
            <w:r>
              <w:rPr>
                <w:b/>
                <w:sz w:val="20"/>
              </w:rPr>
              <w:t>Qué hacer en esta sección.</w:t>
            </w:r>
            <w:r>
              <w:rPr>
                <w:sz w:val="20"/>
              </w:rPr>
              <w:t xml:space="preserve"> Ubiquen al lector: qué organización, qué promete su estrategia y por qué la transformación es necesaria ahora. Declaren el alcance y el método —las fases del ADM de TOGAF que usaron— y cierren con la tabla de supuestos. En este trabajo final, los supuestos de las unidades anteriores se mantienen o se corrigen explícitamente.</w:t>
            </w:r>
          </w:p>
          <w:p>
            <w:r>
              <w:rPr>
                <w:b/>
                <w:sz w:val="19"/>
              </w:rPr>
              <w:t>Se califica en:</w:t>
            </w:r>
            <w:r>
              <w:rPr>
                <w:sz w:val="19"/>
              </w:rPr>
              <w:t xml:space="preserve"> es contexto de todos los criterios · </w:t>
            </w:r>
            <w:r>
              <w:rPr>
                <w:b/>
                <w:sz w:val="19"/>
              </w:rPr>
              <w:t>Se prepara con:</w:t>
            </w:r>
            <w:r>
              <w:rPr>
                <w:sz w:val="19"/>
              </w:rPr>
              <w:t xml:space="preserve"> F-29 (ficha sectorial de la Actividad 4.1) y los supuestos de F-12, F-16 y F-22 · </w:t>
            </w:r>
            <w:r>
              <w:rPr>
                <w:b/>
                <w:sz w:val="19"/>
              </w:rPr>
              <w:t>Cuándo:</w:t>
            </w:r>
            <w:r>
              <w:rPr>
                <w:sz w:val="19"/>
              </w:rPr>
              <w:t xml:space="preserve"> fuera de clase.</w:t>
            </w:r>
          </w:p>
          <w:p>
            <w:r>
              <w:rPr>
                <w:i/>
                <w:sz w:val="19"/>
              </w:rPr>
              <w:t>Este recuadro es una ayuda para leer el ejemplo: no va en su informe.</w:t>
            </w:r>
          </w:p>
        </w:tc>
      </w:tr>
    </w:tbl>
    <w:p>
      <w:pPr>
        <w:spacing w:after="40"/>
      </w:pPr>
    </w:p>
    <w:p>
      <w:r>
        <w:rPr>
          <w:b/>
        </w:rPr>
        <w:t>Por qué ahora.</w:t>
      </w:r>
      <w:r>
        <w:t xml:space="preserve"> La presidencia afirmó que la organización «cuenta con la base tecnológica» para ejecutar Andina 2029 (Vega Fernández, 2026, §3). El diagnóstico de la Unidad 1 mostró que no es así: el crecimiento por réplica de sedes y la adquisición de 2024 produjeron una red que atiende igual pero no comparte datos. Tres hechos del entorno fijan el calendario: el contrato de HIS-NORTE vence en 2027, uno de los dos desarrolladores de HIS-CORE se pensiona en 14 meses y los plazos normativos de interoperabilidad no se pueden aplazar (§13). El más urgente ya pasó: la Resolución 1888 de 2025 dio a los prestadores hasta el 15 de abril de 2026 para enviar el Resumen Digital de Atención (RDA) (Ministerio de Salud y Protección Social, 2025), y ningún sistema de la red lo produce. </w:t>
      </w:r>
      <w:r>
        <w:rPr>
          <w:b/>
        </w:rPr>
        <w:t>La organización ya está en incumplimiento</w:t>
      </w:r>
      <w:r>
        <w:t xml:space="preserve"> de la historia clínica interoperable que exige la Ley 2015 de 2020 (Colombia, Congreso de la República, 2020), y eso pone el RDA en T+0.</w:t>
      </w:r>
    </w:p>
    <w:p>
      <w:r>
        <w:rPr>
          <w:b/>
        </w:rPr>
        <w:t>Alcance.</w:t>
      </w:r>
      <w:r>
        <w:t xml:space="preserve"> Toda la red —24 sedes, clínica y laboratorio— en los dominios de negocio, datos, aplicaciones y tecnología, durante 36 meses. Quedan fuera la sustitución de HIS-CORE (el dossier no dice qué piensa el consejo, §14) y el traslado del centro de datos a la nube (no está definido el apetito de riesgo, §14).</w:t>
      </w:r>
    </w:p>
    <w:p>
      <w:r>
        <w:rPr>
          <w:b/>
        </w:rPr>
        <w:t>Método.</w:t>
      </w:r>
      <w:r>
        <w:t xml:space="preserve"> Se sigue el ADM de TOGAF 10: las fases B, C y D producen la arquitectura actual y objetivo con su análisis de brechas (secciones 2 a 4); la Fase E agrupa las brechas en paquetes de trabajo y define las arquitecturas de transición; la Fase F las ordena en el plan de migración (sección 5) (The Open Group, 2022b). Las vistas usan ArchiMate 3.2 (The Open Group, 2022a) y se eligen por la pregunta de cada interesado, como propone Lankhorst (2017); el modelo operativo usa la tipología de Ross et al. (2006). La unidad de costo es relativa: </w:t>
      </w:r>
      <w:r>
        <w:rPr>
          <w:b/>
        </w:rPr>
        <w:t>1 UC es el 1 % de lo que TI estima necesario para el año 1</w:t>
      </w:r>
      <w:r>
        <w:t>.</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3061"/>
            <w:shd w:val="clear" w:color="auto" w:fill="DCE6F2"/>
          </w:tcPr>
          <w:p>
            <w:pPr>
              <w:spacing w:after="20"/>
            </w:pPr>
            <w:r/>
            <w:r>
              <w:rPr>
                <w:b/>
                <w:sz w:val="18"/>
              </w:rPr>
              <w:t>Supuesto declarado</w:t>
            </w:r>
          </w:p>
        </w:tc>
        <w:tc>
          <w:tcPr>
            <w:tcW w:type="dxa" w:w="3061"/>
            <w:shd w:val="clear" w:color="auto" w:fill="DCE6F2"/>
          </w:tcPr>
          <w:p>
            <w:pPr>
              <w:spacing w:after="20"/>
            </w:pPr>
            <w:r/>
            <w:r>
              <w:rPr>
                <w:b/>
                <w:sz w:val="18"/>
              </w:rPr>
              <w:t>Por qué se asume</w:t>
            </w:r>
          </w:p>
        </w:tc>
        <w:tc>
          <w:tcPr>
            <w:tcW w:type="dxa" w:w="3061"/>
            <w:shd w:val="clear" w:color="auto" w:fill="DCE6F2"/>
          </w:tcPr>
          <w:p>
            <w:pPr>
              <w:spacing w:after="20"/>
            </w:pPr>
            <w:r/>
            <w:r>
              <w:rPr>
                <w:b/>
                <w:sz w:val="18"/>
              </w:rPr>
              <w:t>Si resulta falso</w:t>
            </w:r>
          </w:p>
        </w:tc>
      </w:tr>
      <w:tr>
        <w:tc>
          <w:tcPr>
            <w:tcW w:type="dxa" w:w="3061"/>
          </w:tcPr>
          <w:p>
            <w:pPr>
              <w:spacing w:after="20"/>
            </w:pPr>
            <w:r/>
            <w:r>
              <w:rPr>
                <w:sz w:val="18"/>
              </w:rPr>
              <w:t>El mes 1 del roadmap es enero de 2027, y el año 1 es el año fiscal 2027</w:t>
            </w:r>
          </w:p>
        </w:tc>
        <w:tc>
          <w:tcPr>
            <w:tcW w:type="dxa" w:w="3061"/>
          </w:tcPr>
          <w:p>
            <w:pPr>
              <w:spacing w:after="20"/>
            </w:pPr>
            <w:r/>
            <w:r>
              <w:rPr>
                <w:sz w:val="18"/>
              </w:rPr>
              <w:t>El presupuesto aprobado es «para el próximo año» (dossier §13)</w:t>
            </w:r>
          </w:p>
        </w:tc>
        <w:tc>
          <w:tcPr>
            <w:tcW w:type="dxa" w:w="3061"/>
          </w:tcPr>
          <w:p>
            <w:pPr>
              <w:spacing w:after="20"/>
            </w:pPr>
            <w:r/>
            <w:r>
              <w:rPr>
                <w:sz w:val="18"/>
              </w:rPr>
              <w:t>Los hitos se corren, pero el orden de las iniciativas no cambia</w:t>
            </w:r>
          </w:p>
        </w:tc>
      </w:tr>
      <w:tr>
        <w:tc>
          <w:tcPr>
            <w:tcW w:type="dxa" w:w="3061"/>
          </w:tcPr>
          <w:p>
            <w:pPr>
              <w:spacing w:after="20"/>
            </w:pPr>
            <w:r/>
            <w:r>
              <w:rPr>
                <w:sz w:val="18"/>
              </w:rPr>
              <w:t>La necesidad de TI para el año 1 vale 100 unidades de costo (UC); el presupuesto aprobado, 50 UC</w:t>
            </w:r>
          </w:p>
        </w:tc>
        <w:tc>
          <w:tcPr>
            <w:tcW w:type="dxa" w:w="3061"/>
          </w:tcPr>
          <w:p>
            <w:pPr>
              <w:spacing w:after="20"/>
            </w:pPr>
            <w:r/>
            <w:r>
              <w:rPr>
                <w:sz w:val="18"/>
              </w:rPr>
              <w:t>El dossier dice «aproximadamente la mitad» y no da cifras (§13 y §14). 1 UC es el 1 % de lo que TI estima</w:t>
            </w:r>
          </w:p>
        </w:tc>
        <w:tc>
          <w:tcPr>
            <w:tcW w:type="dxa" w:w="3061"/>
          </w:tcPr>
          <w:p>
            <w:pPr>
              <w:spacing w:after="20"/>
            </w:pPr>
            <w:r/>
            <w:r>
              <w:rPr>
                <w:sz w:val="18"/>
              </w:rPr>
              <w:t>Si alcanza para más, entra primero lo diferido que protege la continuidad (T4, sitio alterno)</w:t>
            </w:r>
          </w:p>
        </w:tc>
      </w:tr>
      <w:tr>
        <w:tc>
          <w:tcPr>
            <w:tcW w:type="dxa" w:w="3061"/>
          </w:tcPr>
          <w:p>
            <w:pPr>
              <w:spacing w:after="20"/>
            </w:pPr>
            <w:r/>
            <w:r>
              <w:rPr>
                <w:sz w:val="18"/>
              </w:rPr>
              <w:t>El contrato de HIS-NORTE vence en diciembre de 2027 y renovarlo al vencimiento, por un plazo corto, no tiene penalidad</w:t>
            </w:r>
          </w:p>
        </w:tc>
        <w:tc>
          <w:tcPr>
            <w:tcW w:type="dxa" w:w="3061"/>
          </w:tcPr>
          <w:p>
            <w:pPr>
              <w:spacing w:after="20"/>
            </w:pPr>
            <w:r/>
            <w:r>
              <w:rPr>
                <w:sz w:val="18"/>
              </w:rPr>
              <w:t>El dossier solo penaliza la renovación anticipada (§13)</w:t>
            </w:r>
          </w:p>
        </w:tc>
        <w:tc>
          <w:tcPr>
            <w:tcW w:type="dxa" w:w="3061"/>
          </w:tcPr>
          <w:p>
            <w:pPr>
              <w:spacing w:after="20"/>
            </w:pPr>
            <w:r/>
            <w:r>
              <w:rPr>
                <w:sz w:val="18"/>
              </w:rPr>
              <w:t>La decisión A/B tendría que tomarse en el mes 9, sin datos del índice maestro: se toma A por defecto</w:t>
            </w:r>
          </w:p>
        </w:tc>
      </w:tr>
      <w:tr>
        <w:tc>
          <w:tcPr>
            <w:tcW w:type="dxa" w:w="3061"/>
          </w:tcPr>
          <w:p>
            <w:pPr>
              <w:spacing w:after="20"/>
            </w:pPr>
            <w:r/>
            <w:r>
              <w:rPr>
                <w:sz w:val="18"/>
              </w:rPr>
              <w:t>El desarrollador de HIS-CORE que se pensiona sale en el mes 11 (noviembre de 2027)</w:t>
            </w:r>
          </w:p>
        </w:tc>
        <w:tc>
          <w:tcPr>
            <w:tcW w:type="dxa" w:w="3061"/>
          </w:tcPr>
          <w:p>
            <w:pPr>
              <w:spacing w:after="20"/>
            </w:pPr>
            <w:r/>
            <w:r>
              <w:rPr>
                <w:sz w:val="18"/>
              </w:rPr>
              <w:t>«Se pensiona en 14 meses», contados desde septiembre de 2026 (§6)</w:t>
            </w:r>
          </w:p>
        </w:tc>
        <w:tc>
          <w:tcPr>
            <w:tcW w:type="dxa" w:w="3061"/>
          </w:tcPr>
          <w:p>
            <w:pPr>
              <w:spacing w:after="20"/>
            </w:pPr>
            <w:r/>
            <w:r>
              <w:rPr>
                <w:sz w:val="18"/>
              </w:rPr>
              <w:t>Si sale antes, K1 se vuelve la primera iniciativa y se contrata soporte externo temporal</w:t>
            </w:r>
          </w:p>
        </w:tc>
      </w:tr>
      <w:tr>
        <w:tc>
          <w:tcPr>
            <w:tcW w:type="dxa" w:w="3061"/>
          </w:tcPr>
          <w:p>
            <w:pPr>
              <w:spacing w:after="20"/>
            </w:pPr>
            <w:r/>
            <w:r>
              <w:rPr>
                <w:sz w:val="18"/>
              </w:rPr>
              <w:t>HIS-NORTE expone una API de consulta</w:t>
            </w:r>
          </w:p>
        </w:tc>
        <w:tc>
          <w:tcPr>
            <w:tcW w:type="dxa" w:w="3061"/>
          </w:tcPr>
          <w:p>
            <w:pPr>
              <w:spacing w:after="20"/>
            </w:pPr>
            <w:r/>
            <w:r>
              <w:rPr>
                <w:sz w:val="18"/>
              </w:rPr>
              <w:t>Supuesto heredado del informe de la Unidad 2; no se ha podido verificar con el proveedor (§14)</w:t>
            </w:r>
          </w:p>
        </w:tc>
        <w:tc>
          <w:tcPr>
            <w:tcW w:type="dxa" w:w="3061"/>
          </w:tcPr>
          <w:p>
            <w:pPr>
              <w:spacing w:after="20"/>
            </w:pPr>
            <w:r/>
            <w:r>
              <w:rPr>
                <w:sz w:val="18"/>
              </w:rPr>
              <w:t>El adaptador de D2 duplica su costo (de 10 a 20 UC) y la rama B gana peso en el mes 18</w:t>
            </w:r>
          </w:p>
        </w:tc>
      </w:tr>
      <w:tr>
        <w:tc>
          <w:tcPr>
            <w:tcW w:type="dxa" w:w="3061"/>
          </w:tcPr>
          <w:p>
            <w:pPr>
              <w:spacing w:after="20"/>
            </w:pPr>
            <w:r/>
            <w:r>
              <w:rPr>
                <w:sz w:val="18"/>
              </w:rPr>
              <w:t>Las cifras de glosa, error de identidad e interfaces del dossier son la línea base del mes 0</w:t>
            </w:r>
          </w:p>
        </w:tc>
        <w:tc>
          <w:tcPr>
            <w:tcW w:type="dxa" w:w="3061"/>
          </w:tcPr>
          <w:p>
            <w:pPr>
              <w:spacing w:after="20"/>
            </w:pPr>
            <w:r/>
            <w:r>
              <w:rPr>
                <w:sz w:val="18"/>
              </w:rPr>
              <w:t>Es la última medición disponible (§9 y §11)</w:t>
            </w:r>
          </w:p>
        </w:tc>
        <w:tc>
          <w:tcPr>
            <w:tcW w:type="dxa" w:w="3061"/>
          </w:tcPr>
          <w:p>
            <w:pPr>
              <w:spacing w:after="20"/>
            </w:pPr>
            <w:r/>
            <w:r>
              <w:rPr>
                <w:sz w:val="18"/>
              </w:rPr>
              <w:t>Se remide en el mes 1, antes de fijar las metas del tablero</w:t>
            </w:r>
          </w:p>
        </w:tc>
      </w:tr>
    </w:tbl>
    <w:p>
      <w:pPr>
        <w:spacing w:after="40"/>
      </w:pPr>
    </w:p>
    <w:p>
      <w:r>
        <w:rPr>
          <w:i/>
          <w:sz w:val="19"/>
        </w:rPr>
        <w:t>Tabla 2.</w:t>
      </w:r>
      <w:r>
        <w:rPr>
          <w:sz w:val="19"/>
        </w:rPr>
        <w:t xml:space="preserve"> Supuestos. Se mantienen los de las unidades 2 y 3, y se agregan los que necesita el roadmap.</w:t>
      </w:r>
    </w:p>
    <w:p>
      <w:pPr>
        <w:pStyle w:val="Heading1"/>
      </w:pPr>
      <w:r>
        <w:t>2. Arquitectura AS-IS</w:t>
      </w:r>
    </w:p>
    <w:tbl>
      <w:tblPr>
        <w:tblW w:type="auto" w:w="0"/>
        <w:tblLook w:firstColumn="1" w:firstRow="1" w:lastColumn="0" w:lastRow="0" w:noHBand="0" w:noVBand="1" w:val="04A0"/>
      </w:tblPr>
      <w:tblGrid>
        <w:gridCol w:w="9406"/>
      </w:tblGrid>
      <w:tr>
        <w:trPr>
          <w:cantSplit w:val="true"/>
        </w:trPr>
        <w:tc>
          <w:tcPr>
            <w:tcW w:type="dxa" w:w="9406"/>
            <w:shd w:val="clear" w:color="auto" w:fill="EEF3FA"/>
            <w:tcBorders>
              <w:top w:val="nil"/>
              <w:bottom w:val="nil"/>
              <w:right w:val="nil"/>
              <w:left w:val="single" w:sz="24" w:color="C2622C"/>
            </w:tcBorders>
          </w:tcPr>
          <w:p>
            <w:r>
              <w:rPr>
                <w:b/>
                <w:sz w:val="20"/>
              </w:rPr>
              <w:t>Qué hacer en esta sección.</w:t>
            </w:r>
            <w:r>
              <w:rPr>
                <w:sz w:val="20"/>
              </w:rPr>
              <w:t xml:space="preserve"> Documenten el estado actual con cuatro piezas: modelo operativo, mapa de capacidades con su soporte de TI, portafolio de aplicaciones y plataforma tecnológica, y al menos una vista ArchiMate. No es un inventario exhaustivo: es lo suficiente para ver las brechas. Casi todo viene de la Unidad 1 (F-05 a F-08) y de las vistas de la Unidad 2 (F-13); actualícenlo con lo que aprendieron después.</w:t>
            </w:r>
          </w:p>
          <w:p>
            <w:r>
              <w:rPr>
                <w:b/>
                <w:sz w:val="19"/>
              </w:rPr>
              <w:t>Se califica en:</w:t>
            </w:r>
            <w:r>
              <w:rPr>
                <w:sz w:val="19"/>
              </w:rPr>
              <w:t xml:space="preserve"> Arquitecturas AS-IS y TO-BE (1,5) · </w:t>
            </w:r>
            <w:r>
              <w:rPr>
                <w:b/>
                <w:sz w:val="19"/>
              </w:rPr>
              <w:t>Se prepara con:</w:t>
            </w:r>
            <w:r>
              <w:rPr>
                <w:sz w:val="19"/>
              </w:rPr>
              <w:t xml:space="preserve"> F-30 · </w:t>
            </w:r>
            <w:r>
              <w:rPr>
                <w:b/>
                <w:sz w:val="19"/>
              </w:rPr>
              <w:t>Cuándo:</w:t>
            </w:r>
            <w:r>
              <w:rPr>
                <w:sz w:val="19"/>
              </w:rPr>
              <w:t xml:space="preserve"> fuera de clase, a partir de lo producido en las unidades 1 y 2.</w:t>
            </w:r>
          </w:p>
          <w:p>
            <w:r>
              <w:rPr>
                <w:i/>
                <w:sz w:val="19"/>
              </w:rPr>
              <w:t>Este recuadro es una ayuda para leer el ejemplo: no va en su informe.</w:t>
            </w:r>
          </w:p>
        </w:tc>
      </w:tr>
    </w:tbl>
    <w:p>
      <w:pPr>
        <w:spacing w:after="40"/>
      </w:pPr>
    </w:p>
    <w:p>
      <w:pPr>
        <w:pStyle w:val="Heading2"/>
      </w:pPr>
      <w:r>
        <w:t>2.1 Modelo operativo</w:t>
      </w:r>
    </w:p>
    <w:p>
      <w:r>
        <w:rPr>
          <w:b/>
        </w:rPr>
        <w:t>Replicación</w:t>
      </w:r>
      <w:r>
        <w:t xml:space="preserve"> (Ross et al., 2006): las 24 sedes repiten el mismo proceso de atención —estandarización alta— pero cada una guarda sus propios datos y la red tiene cuatro maestros de paciente —integración baja—. Es el modelo que hizo rentable a la organización entre 2006 y 2018. </w:t>
      </w:r>
      <w:r>
        <w:rPr>
          <w:b/>
        </w:rPr>
        <w:t>Tensión declarada:</w:t>
      </w:r>
      <w:r>
        <w:t xml:space="preserve"> la adquisición de 2024 rompió incluso la estandarización, porque las seis sedes del norte atienden con otro sistema y otro proceso de admisión.</w:t>
      </w:r>
    </w:p>
    <w:p>
      <w:pPr>
        <w:pStyle w:val="Heading2"/>
      </w:pPr>
      <w:r>
        <w:t>2.2 Capacidades y su soporte de TI</w:t>
      </w:r>
    </w:p>
    <w:p>
      <w:r>
        <w:t>Nueve capacidades de nivel 1. El soporte sigue la escala del F-06: alto, medio o bajo. Siete de las nueve tienen soporte bajo, y son justamente las que las apuestas de Andina 2029 necesitan.</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2494"/>
            <w:shd w:val="clear" w:color="auto" w:fill="DCE6F2"/>
          </w:tcPr>
          <w:p>
            <w:pPr>
              <w:spacing w:after="20"/>
            </w:pPr>
            <w:r/>
            <w:r>
              <w:rPr>
                <w:b/>
                <w:sz w:val="18"/>
              </w:rPr>
              <w:t>Capacidad</w:t>
            </w:r>
          </w:p>
        </w:tc>
        <w:tc>
          <w:tcPr>
            <w:tcW w:type="dxa" w:w="907"/>
            <w:shd w:val="clear" w:color="auto" w:fill="DCE6F2"/>
          </w:tcPr>
          <w:p>
            <w:pPr>
              <w:spacing w:after="20"/>
            </w:pPr>
            <w:r/>
            <w:r>
              <w:rPr>
                <w:b/>
                <w:sz w:val="18"/>
              </w:rPr>
              <w:t>Soporte</w:t>
            </w:r>
          </w:p>
        </w:tc>
        <w:tc>
          <w:tcPr>
            <w:tcW w:type="dxa" w:w="4535"/>
            <w:shd w:val="clear" w:color="auto" w:fill="DCE6F2"/>
          </w:tcPr>
          <w:p>
            <w:pPr>
              <w:spacing w:after="20"/>
            </w:pPr>
            <w:r/>
            <w:r>
              <w:rPr>
                <w:b/>
                <w:sz w:val="18"/>
              </w:rPr>
              <w:t>Evidencia</w:t>
            </w:r>
          </w:p>
        </w:tc>
        <w:tc>
          <w:tcPr>
            <w:tcW w:type="dxa" w:w="1247"/>
            <w:shd w:val="clear" w:color="auto" w:fill="DCE6F2"/>
          </w:tcPr>
          <w:p>
            <w:pPr>
              <w:spacing w:after="20"/>
            </w:pPr>
            <w:r/>
            <w:r>
              <w:rPr>
                <w:b/>
                <w:sz w:val="18"/>
              </w:rPr>
              <w:t>Apuesta</w:t>
            </w:r>
          </w:p>
        </w:tc>
      </w:tr>
      <w:tr>
        <w:tc>
          <w:tcPr>
            <w:tcW w:type="dxa" w:w="2494"/>
          </w:tcPr>
          <w:p>
            <w:pPr>
              <w:spacing w:after="20"/>
            </w:pPr>
            <w:r/>
            <w:r>
              <w:rPr>
                <w:sz w:val="18"/>
              </w:rPr>
              <w:t>Gestión de la identidad del paciente</w:t>
            </w:r>
          </w:p>
        </w:tc>
        <w:tc>
          <w:tcPr>
            <w:tcW w:type="dxa" w:w="907"/>
          </w:tcPr>
          <w:p>
            <w:pPr>
              <w:spacing w:after="20"/>
            </w:pPr>
            <w:r/>
            <w:r>
              <w:rPr>
                <w:sz w:val="18"/>
              </w:rPr>
              <w:t>Bajo</w:t>
            </w:r>
          </w:p>
        </w:tc>
        <w:tc>
          <w:tcPr>
            <w:tcW w:type="dxa" w:w="4535"/>
          </w:tcPr>
          <w:p>
            <w:pPr>
              <w:spacing w:after="20"/>
            </w:pPr>
            <w:r/>
            <w:r>
              <w:rPr>
                <w:sz w:val="18"/>
              </w:rPr>
              <w:t>Cuatro maestros; 6 % de error en la conciliación (§9)</w:t>
            </w:r>
          </w:p>
        </w:tc>
        <w:tc>
          <w:tcPr>
            <w:tcW w:type="dxa" w:w="1247"/>
          </w:tcPr>
          <w:p>
            <w:pPr>
              <w:spacing w:after="20"/>
            </w:pPr>
            <w:r/>
            <w:r>
              <w:rPr>
                <w:sz w:val="18"/>
              </w:rPr>
              <w:t>1 y 2</w:t>
            </w:r>
          </w:p>
        </w:tc>
      </w:tr>
      <w:tr>
        <w:tc>
          <w:tcPr>
            <w:tcW w:type="dxa" w:w="2494"/>
          </w:tcPr>
          <w:p>
            <w:pPr>
              <w:spacing w:after="20"/>
            </w:pPr>
            <w:r/>
            <w:r>
              <w:rPr>
                <w:sz w:val="18"/>
              </w:rPr>
              <w:t>Atención clínica y registro de historia</w:t>
            </w:r>
          </w:p>
        </w:tc>
        <w:tc>
          <w:tcPr>
            <w:tcW w:type="dxa" w:w="907"/>
          </w:tcPr>
          <w:p>
            <w:pPr>
              <w:spacing w:after="20"/>
            </w:pPr>
            <w:r/>
            <w:r>
              <w:rPr>
                <w:sz w:val="18"/>
              </w:rPr>
              <w:t>Medio</w:t>
            </w:r>
          </w:p>
        </w:tc>
        <w:tc>
          <w:tcPr>
            <w:tcW w:type="dxa" w:w="4535"/>
          </w:tcPr>
          <w:p>
            <w:pPr>
              <w:spacing w:after="20"/>
            </w:pPr>
            <w:r/>
            <w:r>
              <w:rPr>
                <w:sz w:val="18"/>
              </w:rPr>
              <w:t>HIS-CORE en 18 sedes y la clínica; HIS-NORTE en 6, sin integración (§5)</w:t>
            </w:r>
          </w:p>
        </w:tc>
        <w:tc>
          <w:tcPr>
            <w:tcW w:type="dxa" w:w="1247"/>
          </w:tcPr>
          <w:p>
            <w:pPr>
              <w:spacing w:after="20"/>
            </w:pPr>
            <w:r/>
            <w:r>
              <w:rPr>
                <w:sz w:val="18"/>
              </w:rPr>
              <w:t>1</w:t>
            </w:r>
          </w:p>
        </w:tc>
      </w:tr>
      <w:tr>
        <w:tc>
          <w:tcPr>
            <w:tcW w:type="dxa" w:w="2494"/>
          </w:tcPr>
          <w:p>
            <w:pPr>
              <w:spacing w:after="20"/>
            </w:pPr>
            <w:r/>
            <w:r>
              <w:rPr>
                <w:sz w:val="18"/>
              </w:rPr>
              <w:t>Agendamiento y autorización</w:t>
            </w:r>
          </w:p>
        </w:tc>
        <w:tc>
          <w:tcPr>
            <w:tcW w:type="dxa" w:w="907"/>
          </w:tcPr>
          <w:p>
            <w:pPr>
              <w:spacing w:after="20"/>
            </w:pPr>
            <w:r/>
            <w:r>
              <w:rPr>
                <w:sz w:val="18"/>
              </w:rPr>
              <w:t>Medio</w:t>
            </w:r>
          </w:p>
        </w:tc>
        <w:tc>
          <w:tcPr>
            <w:tcW w:type="dxa" w:w="4535"/>
          </w:tcPr>
          <w:p>
            <w:pPr>
              <w:spacing w:after="20"/>
            </w:pPr>
            <w:r/>
            <w:r>
              <w:rPr>
                <w:sz w:val="18"/>
              </w:rPr>
              <w:t>Dos agendas que no se hablan; portal &gt; 12 s en pico (§6, §11)</w:t>
            </w:r>
          </w:p>
        </w:tc>
        <w:tc>
          <w:tcPr>
            <w:tcW w:type="dxa" w:w="1247"/>
          </w:tcPr>
          <w:p>
            <w:pPr>
              <w:spacing w:after="20"/>
            </w:pPr>
            <w:r/>
            <w:r>
              <w:rPr>
                <w:sz w:val="18"/>
              </w:rPr>
              <w:t>3</w:t>
            </w:r>
          </w:p>
        </w:tc>
      </w:tr>
      <w:tr>
        <w:tc>
          <w:tcPr>
            <w:tcW w:type="dxa" w:w="2494"/>
          </w:tcPr>
          <w:p>
            <w:pPr>
              <w:spacing w:after="20"/>
            </w:pPr>
            <w:r/>
            <w:r>
              <w:rPr>
                <w:sz w:val="18"/>
              </w:rPr>
              <w:t>Diagnóstico y laboratorio</w:t>
            </w:r>
          </w:p>
        </w:tc>
        <w:tc>
          <w:tcPr>
            <w:tcW w:type="dxa" w:w="907"/>
          </w:tcPr>
          <w:p>
            <w:pPr>
              <w:spacing w:after="20"/>
            </w:pPr>
            <w:r/>
            <w:r>
              <w:rPr>
                <w:sz w:val="18"/>
              </w:rPr>
              <w:t>Medio</w:t>
            </w:r>
          </w:p>
        </w:tc>
        <w:tc>
          <w:tcPr>
            <w:tcW w:type="dxa" w:w="4535"/>
          </w:tcPr>
          <w:p>
            <w:pPr>
              <w:spacing w:after="20"/>
            </w:pPr>
            <w:r/>
            <w:r>
              <w:rPr>
                <w:sz w:val="18"/>
              </w:rPr>
              <w:t>210.000 exámenes/mes; órdenes de 6 sedes redigitadas (§7, §11)</w:t>
            </w:r>
          </w:p>
        </w:tc>
        <w:tc>
          <w:tcPr>
            <w:tcW w:type="dxa" w:w="1247"/>
          </w:tcPr>
          <w:p>
            <w:pPr>
              <w:spacing w:after="20"/>
            </w:pPr>
            <w:r/>
            <w:r>
              <w:rPr>
                <w:sz w:val="18"/>
              </w:rPr>
              <w:t>4</w:t>
            </w:r>
          </w:p>
        </w:tc>
      </w:tr>
      <w:tr>
        <w:tc>
          <w:tcPr>
            <w:tcW w:type="dxa" w:w="2494"/>
          </w:tcPr>
          <w:p>
            <w:pPr>
              <w:spacing w:after="20"/>
            </w:pPr>
            <w:r/>
            <w:r>
              <w:rPr>
                <w:sz w:val="18"/>
              </w:rPr>
              <w:t>Venta B2B de diagnóstico</w:t>
            </w:r>
          </w:p>
        </w:tc>
        <w:tc>
          <w:tcPr>
            <w:tcW w:type="dxa" w:w="907"/>
          </w:tcPr>
          <w:p>
            <w:pPr>
              <w:spacing w:after="20"/>
            </w:pPr>
            <w:r/>
            <w:r>
              <w:rPr>
                <w:sz w:val="18"/>
              </w:rPr>
              <w:t>Bajo</w:t>
            </w:r>
          </w:p>
        </w:tc>
        <w:tc>
          <w:tcPr>
            <w:tcW w:type="dxa" w:w="4535"/>
          </w:tcPr>
          <w:p>
            <w:pPr>
              <w:spacing w:after="20"/>
            </w:pPr>
            <w:r/>
            <w:r>
              <w:rPr>
                <w:sz w:val="18"/>
              </w:rPr>
              <w:t>PORTAL-B2B lee la base de LIS-LAB; construido fuera de TI (§7)</w:t>
            </w:r>
          </w:p>
        </w:tc>
        <w:tc>
          <w:tcPr>
            <w:tcW w:type="dxa" w:w="1247"/>
          </w:tcPr>
          <w:p>
            <w:pPr>
              <w:spacing w:after="20"/>
            </w:pPr>
            <w:r/>
            <w:r>
              <w:rPr>
                <w:sz w:val="18"/>
              </w:rPr>
              <w:t>4</w:t>
            </w:r>
          </w:p>
        </w:tc>
      </w:tr>
      <w:tr>
        <w:tc>
          <w:tcPr>
            <w:tcW w:type="dxa" w:w="2494"/>
          </w:tcPr>
          <w:p>
            <w:pPr>
              <w:spacing w:after="20"/>
            </w:pPr>
            <w:r/>
            <w:r>
              <w:rPr>
                <w:sz w:val="18"/>
              </w:rPr>
              <w:t>Ciclo de ingresos (facturación, radicación, glosa)</w:t>
            </w:r>
          </w:p>
        </w:tc>
        <w:tc>
          <w:tcPr>
            <w:tcW w:type="dxa" w:w="907"/>
          </w:tcPr>
          <w:p>
            <w:pPr>
              <w:spacing w:after="20"/>
            </w:pPr>
            <w:r/>
            <w:r>
              <w:rPr>
                <w:sz w:val="18"/>
              </w:rPr>
              <w:t>Bajo</w:t>
            </w:r>
          </w:p>
        </w:tc>
        <w:tc>
          <w:tcPr>
            <w:tcW w:type="dxa" w:w="4535"/>
          </w:tcPr>
          <w:p>
            <w:pPr>
              <w:spacing w:after="20"/>
            </w:pPr>
            <w:r/>
            <w:r>
              <w:rPr>
                <w:sz w:val="18"/>
              </w:rPr>
              <w:t>Glosa inicial 9,4 %; indicador en hoja de cálculo (§9, §11)</w:t>
            </w:r>
          </w:p>
        </w:tc>
        <w:tc>
          <w:tcPr>
            <w:tcW w:type="dxa" w:w="1247"/>
          </w:tcPr>
          <w:p>
            <w:pPr>
              <w:spacing w:after="20"/>
            </w:pPr>
            <w:r/>
            <w:r>
              <w:rPr>
                <w:sz w:val="18"/>
              </w:rPr>
              <w:t>5</w:t>
            </w:r>
          </w:p>
        </w:tc>
      </w:tr>
      <w:tr>
        <w:tc>
          <w:tcPr>
            <w:tcW w:type="dxa" w:w="2494"/>
          </w:tcPr>
          <w:p>
            <w:pPr>
              <w:spacing w:after="20"/>
            </w:pPr>
            <w:r/>
            <w:r>
              <w:rPr>
                <w:sz w:val="18"/>
              </w:rPr>
              <w:t>Atención virtual</w:t>
            </w:r>
          </w:p>
        </w:tc>
        <w:tc>
          <w:tcPr>
            <w:tcW w:type="dxa" w:w="907"/>
          </w:tcPr>
          <w:p>
            <w:pPr>
              <w:spacing w:after="20"/>
            </w:pPr>
            <w:r/>
            <w:r>
              <w:rPr>
                <w:sz w:val="18"/>
              </w:rPr>
              <w:t>Bajo</w:t>
            </w:r>
          </w:p>
        </w:tc>
        <w:tc>
          <w:tcPr>
            <w:tcW w:type="dxa" w:w="4535"/>
          </w:tcPr>
          <w:p>
            <w:pPr>
              <w:spacing w:after="20"/>
            </w:pPr>
            <w:r/>
            <w:r>
              <w:rPr>
                <w:sz w:val="18"/>
              </w:rPr>
              <w:t>TELEMED sin integración: registro manual posterior (§7)</w:t>
            </w:r>
          </w:p>
        </w:tc>
        <w:tc>
          <w:tcPr>
            <w:tcW w:type="dxa" w:w="1247"/>
          </w:tcPr>
          <w:p>
            <w:pPr>
              <w:spacing w:after="20"/>
            </w:pPr>
            <w:r/>
            <w:r>
              <w:rPr>
                <w:sz w:val="18"/>
              </w:rPr>
              <w:t>3</w:t>
            </w:r>
          </w:p>
        </w:tc>
      </w:tr>
      <w:tr>
        <w:tc>
          <w:tcPr>
            <w:tcW w:type="dxa" w:w="2494"/>
          </w:tcPr>
          <w:p>
            <w:pPr>
              <w:spacing w:after="20"/>
            </w:pPr>
            <w:r/>
            <w:r>
              <w:rPr>
                <w:sz w:val="18"/>
              </w:rPr>
              <w:t>Analítica para la dirección</w:t>
            </w:r>
          </w:p>
        </w:tc>
        <w:tc>
          <w:tcPr>
            <w:tcW w:type="dxa" w:w="907"/>
          </w:tcPr>
          <w:p>
            <w:pPr>
              <w:spacing w:after="20"/>
            </w:pPr>
            <w:r/>
            <w:r>
              <w:rPr>
                <w:sz w:val="18"/>
              </w:rPr>
              <w:t>Bajo</w:t>
            </w:r>
          </w:p>
        </w:tc>
        <w:tc>
          <w:tcPr>
            <w:tcW w:type="dxa" w:w="4535"/>
          </w:tcPr>
          <w:p>
            <w:pPr>
              <w:spacing w:after="20"/>
            </w:pPr>
            <w:r/>
            <w:r>
              <w:rPr>
                <w:sz w:val="18"/>
              </w:rPr>
              <w:t>BI-ANDINA con extracción nocturna; cifras que discrepan (§6)</w:t>
            </w:r>
          </w:p>
        </w:tc>
        <w:tc>
          <w:tcPr>
            <w:tcW w:type="dxa" w:w="1247"/>
          </w:tcPr>
          <w:p>
            <w:pPr>
              <w:spacing w:after="20"/>
            </w:pPr>
            <w:r/>
            <w:r>
              <w:rPr>
                <w:sz w:val="18"/>
              </w:rPr>
              <w:t>2</w:t>
            </w:r>
          </w:p>
        </w:tc>
      </w:tr>
      <w:tr>
        <w:tc>
          <w:tcPr>
            <w:tcW w:type="dxa" w:w="2494"/>
          </w:tcPr>
          <w:p>
            <w:pPr>
              <w:spacing w:after="20"/>
            </w:pPr>
            <w:r/>
            <w:r>
              <w:rPr>
                <w:sz w:val="18"/>
              </w:rPr>
              <w:t>Continuidad de la operación</w:t>
            </w:r>
          </w:p>
        </w:tc>
        <w:tc>
          <w:tcPr>
            <w:tcW w:type="dxa" w:w="907"/>
          </w:tcPr>
          <w:p>
            <w:pPr>
              <w:spacing w:after="20"/>
            </w:pPr>
            <w:r/>
            <w:r>
              <w:rPr>
                <w:sz w:val="18"/>
              </w:rPr>
              <w:t>Bajo</w:t>
            </w:r>
          </w:p>
        </w:tc>
        <w:tc>
          <w:tcPr>
            <w:tcW w:type="dxa" w:w="4535"/>
          </w:tcPr>
          <w:p>
            <w:pPr>
              <w:spacing w:after="20"/>
            </w:pPr>
            <w:r/>
            <w:r>
              <w:rPr>
                <w:sz w:val="18"/>
              </w:rPr>
              <w:t>Ventana dominical de 2 h sin sistema; DRP nunca probado (§8)</w:t>
            </w:r>
          </w:p>
        </w:tc>
        <w:tc>
          <w:tcPr>
            <w:tcW w:type="dxa" w:w="1247"/>
          </w:tcPr>
          <w:p>
            <w:pPr>
              <w:spacing w:after="20"/>
            </w:pPr>
            <w:r/>
            <w:r>
              <w:rPr>
                <w:sz w:val="18"/>
              </w:rPr>
              <w:t>Todas</w:t>
            </w:r>
          </w:p>
        </w:tc>
      </w:tr>
    </w:tbl>
    <w:p>
      <w:pPr>
        <w:spacing w:after="40"/>
      </w:pPr>
    </w:p>
    <w:p>
      <w:r>
        <w:rPr>
          <w:i/>
          <w:sz w:val="19"/>
        </w:rPr>
        <w:t>Tabla 3.</w:t>
      </w:r>
      <w:r>
        <w:rPr>
          <w:sz w:val="19"/>
        </w:rPr>
        <w:t xml:space="preserve"> Capacidades de nivel 1 y su soporte de TI en el estado actual.</w:t>
      </w:r>
    </w:p>
    <w:p>
      <w:pPr>
        <w:pStyle w:val="Heading2"/>
      </w:pPr>
      <w:r>
        <w:t>2.3 Aplicaciones, integración y plataforma</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1474"/>
            <w:shd w:val="clear" w:color="auto" w:fill="DCE6F2"/>
          </w:tcPr>
          <w:p>
            <w:pPr>
              <w:spacing w:after="20"/>
            </w:pPr>
            <w:r/>
            <w:r>
              <w:rPr>
                <w:b/>
                <w:sz w:val="18"/>
              </w:rPr>
              <w:t>Capa</w:t>
            </w:r>
          </w:p>
        </w:tc>
        <w:tc>
          <w:tcPr>
            <w:tcW w:type="dxa" w:w="4082"/>
            <w:shd w:val="clear" w:color="auto" w:fill="DCE6F2"/>
          </w:tcPr>
          <w:p>
            <w:pPr>
              <w:spacing w:after="20"/>
            </w:pPr>
            <w:r/>
            <w:r>
              <w:rPr>
                <w:b/>
                <w:sz w:val="18"/>
              </w:rPr>
              <w:t>Qué hay hoy</w:t>
            </w:r>
          </w:p>
        </w:tc>
        <w:tc>
          <w:tcPr>
            <w:tcW w:type="dxa" w:w="3628"/>
            <w:shd w:val="clear" w:color="auto" w:fill="DCE6F2"/>
          </w:tcPr>
          <w:p>
            <w:pPr>
              <w:spacing w:after="20"/>
            </w:pPr>
            <w:r/>
            <w:r>
              <w:rPr>
                <w:b/>
                <w:sz w:val="18"/>
              </w:rPr>
              <w:t>El hecho que la caracteriza</w:t>
            </w:r>
          </w:p>
        </w:tc>
      </w:tr>
      <w:tr>
        <w:tc>
          <w:tcPr>
            <w:tcW w:type="dxa" w:w="1474"/>
          </w:tcPr>
          <w:p>
            <w:pPr>
              <w:spacing w:after="20"/>
            </w:pPr>
            <w:r/>
            <w:r>
              <w:rPr>
                <w:b/>
                <w:sz w:val="18"/>
              </w:rPr>
              <w:t>Aplicaciones</w:t>
            </w:r>
          </w:p>
        </w:tc>
        <w:tc>
          <w:tcPr>
            <w:tcW w:type="dxa" w:w="4082"/>
          </w:tcPr>
          <w:p>
            <w:pPr>
              <w:spacing w:after="20"/>
            </w:pPr>
            <w:r/>
            <w:r>
              <w:rPr>
                <w:sz w:val="18"/>
              </w:rPr>
              <w:t>13 sistemas; 2 críticos asistenciales (HIS-CORE, HIS-NORTE) y 1 crítico de ingresos (FACT-SALUD)</w:t>
            </w:r>
          </w:p>
        </w:tc>
        <w:tc>
          <w:tcPr>
            <w:tcW w:type="dxa" w:w="3628"/>
          </w:tcPr>
          <w:p>
            <w:pPr>
              <w:spacing w:after="20"/>
            </w:pPr>
            <w:r/>
            <w:r>
              <w:rPr>
                <w:sz w:val="18"/>
              </w:rPr>
              <w:t>HIS-CORE es Oracle Forms de 2009 y lo conocen 2 personas</w:t>
            </w:r>
          </w:p>
        </w:tc>
      </w:tr>
      <w:tr>
        <w:tc>
          <w:tcPr>
            <w:tcW w:type="dxa" w:w="1474"/>
          </w:tcPr>
          <w:p>
            <w:pPr>
              <w:spacing w:after="20"/>
            </w:pPr>
            <w:r/>
            <w:r>
              <w:rPr>
                <w:b/>
                <w:sz w:val="18"/>
              </w:rPr>
              <w:t>Integración</w:t>
            </w:r>
          </w:p>
        </w:tc>
        <w:tc>
          <w:tcPr>
            <w:tcW w:type="dxa" w:w="4082"/>
          </w:tcPr>
          <w:p>
            <w:pPr>
              <w:spacing w:after="20"/>
            </w:pPr>
            <w:r/>
            <w:r>
              <w:rPr>
                <w:sz w:val="18"/>
              </w:rPr>
              <w:t>41 interfaces registradas y 8 a 12 sin registrar; el bus se usa en 6</w:t>
            </w:r>
          </w:p>
        </w:tc>
        <w:tc>
          <w:tcPr>
            <w:tcW w:type="dxa" w:w="3628"/>
          </w:tcPr>
          <w:p>
            <w:pPr>
              <w:spacing w:after="20"/>
            </w:pPr>
            <w:r/>
            <w:r>
              <w:rPr>
                <w:sz w:val="18"/>
              </w:rPr>
              <w:t>11,8 % de las interfaces tiene contrato (M3 de la Unidad 3)</w:t>
            </w:r>
          </w:p>
        </w:tc>
      </w:tr>
      <w:tr>
        <w:tc>
          <w:tcPr>
            <w:tcW w:type="dxa" w:w="1474"/>
          </w:tcPr>
          <w:p>
            <w:pPr>
              <w:spacing w:after="20"/>
            </w:pPr>
            <w:r/>
            <w:r>
              <w:rPr>
                <w:b/>
                <w:sz w:val="18"/>
              </w:rPr>
              <w:t>Datos</w:t>
            </w:r>
          </w:p>
        </w:tc>
        <w:tc>
          <w:tcPr>
            <w:tcW w:type="dxa" w:w="4082"/>
          </w:tcPr>
          <w:p>
            <w:pPr>
              <w:spacing w:after="20"/>
            </w:pPr>
            <w:r/>
            <w:r>
              <w:rPr>
                <w:sz w:val="18"/>
              </w:rPr>
              <w:t>Seis dominios, ninguno con dueño único ni modelo común</w:t>
            </w:r>
          </w:p>
        </w:tc>
        <w:tc>
          <w:tcPr>
            <w:tcW w:type="dxa" w:w="3628"/>
          </w:tcPr>
          <w:p>
            <w:pPr>
              <w:spacing w:after="20"/>
            </w:pPr>
            <w:r/>
            <w:r>
              <w:rPr>
                <w:sz w:val="18"/>
              </w:rPr>
              <w:t>El indicador oficial de glosa se calcula fuera de los sistemas</w:t>
            </w:r>
          </w:p>
        </w:tc>
      </w:tr>
      <w:tr>
        <w:tc>
          <w:tcPr>
            <w:tcW w:type="dxa" w:w="1474"/>
          </w:tcPr>
          <w:p>
            <w:pPr>
              <w:spacing w:after="20"/>
            </w:pPr>
            <w:r/>
            <w:r>
              <w:rPr>
                <w:b/>
                <w:sz w:val="18"/>
              </w:rPr>
              <w:t>Infraestructura</w:t>
            </w:r>
          </w:p>
        </w:tc>
        <w:tc>
          <w:tcPr>
            <w:tcW w:type="dxa" w:w="4082"/>
          </w:tcPr>
          <w:p>
            <w:pPr>
              <w:spacing w:after="20"/>
            </w:pPr>
            <w:r/>
            <w:r>
              <w:rPr>
                <w:sz w:val="18"/>
              </w:rPr>
              <w:t>Centro de datos propio, cuarto técnico secundario, sin sitio alterno</w:t>
            </w:r>
          </w:p>
        </w:tc>
        <w:tc>
          <w:tcPr>
            <w:tcW w:type="dxa" w:w="3628"/>
          </w:tcPr>
          <w:p>
            <w:pPr>
              <w:spacing w:after="20"/>
            </w:pPr>
            <w:r/>
            <w:r>
              <w:rPr>
                <w:sz w:val="18"/>
              </w:rPr>
              <w:t>31 horas de indisponibilidad no planeada de HIS-CORE en 12 meses</w:t>
            </w:r>
          </w:p>
        </w:tc>
      </w:tr>
      <w:tr>
        <w:tc>
          <w:tcPr>
            <w:tcW w:type="dxa" w:w="1474"/>
          </w:tcPr>
          <w:p>
            <w:pPr>
              <w:spacing w:after="20"/>
            </w:pPr>
            <w:r/>
            <w:r>
              <w:rPr>
                <w:b/>
                <w:sz w:val="18"/>
              </w:rPr>
              <w:t>Nube</w:t>
            </w:r>
          </w:p>
        </w:tc>
        <w:tc>
          <w:tcPr>
            <w:tcW w:type="dxa" w:w="4082"/>
          </w:tcPr>
          <w:p>
            <w:pPr>
              <w:spacing w:after="20"/>
            </w:pPr>
            <w:r/>
            <w:r>
              <w:rPr>
                <w:sz w:val="18"/>
              </w:rPr>
              <w:t>3 servicios en 2 proveedores, contratados sin lineamiento</w:t>
            </w:r>
          </w:p>
        </w:tc>
        <w:tc>
          <w:tcPr>
            <w:tcW w:type="dxa" w:w="3628"/>
          </w:tcPr>
          <w:p>
            <w:pPr>
              <w:spacing w:after="20"/>
            </w:pPr>
            <w:r/>
            <w:r>
              <w:rPr>
                <w:sz w:val="18"/>
              </w:rPr>
              <w:t>Episodio «Portal del paciente» (§10)</w:t>
            </w:r>
          </w:p>
        </w:tc>
      </w:tr>
      <w:tr>
        <w:tc>
          <w:tcPr>
            <w:tcW w:type="dxa" w:w="1474"/>
          </w:tcPr>
          <w:p>
            <w:pPr>
              <w:spacing w:after="20"/>
            </w:pPr>
            <w:r/>
            <w:r>
              <w:rPr>
                <w:b/>
                <w:sz w:val="18"/>
              </w:rPr>
              <w:t>Operación</w:t>
            </w:r>
          </w:p>
        </w:tc>
        <w:tc>
          <w:tcPr>
            <w:tcW w:type="dxa" w:w="4082"/>
          </w:tcPr>
          <w:p>
            <w:pPr>
              <w:spacing w:after="20"/>
            </w:pPr>
            <w:r/>
            <w:r>
              <w:rPr>
                <w:sz w:val="18"/>
              </w:rPr>
              <w:t>Monitoreo de infraestructura, no de servicio</w:t>
            </w:r>
          </w:p>
        </w:tc>
        <w:tc>
          <w:tcPr>
            <w:tcW w:type="dxa" w:w="3628"/>
          </w:tcPr>
          <w:p>
            <w:pPr>
              <w:spacing w:after="20"/>
            </w:pPr>
            <w:r/>
            <w:r>
              <w:rPr>
                <w:sz w:val="18"/>
              </w:rPr>
              <w:t>Los incidentes los reporta el usuario, no el sistema</w:t>
            </w:r>
          </w:p>
        </w:tc>
      </w:tr>
    </w:tbl>
    <w:p>
      <w:pPr>
        <w:spacing w:after="40"/>
      </w:pPr>
    </w:p>
    <w:p>
      <w:r>
        <w:rPr>
          <w:i/>
          <w:sz w:val="19"/>
        </w:rPr>
        <w:t>Tabla 4.</w:t>
      </w:r>
      <w:r>
        <w:rPr>
          <w:sz w:val="19"/>
        </w:rPr>
        <w:t xml:space="preserve"> Aplicaciones, integración y plataforma del estado actual.</w:t>
      </w:r>
    </w:p>
    <w:p>
      <w:pPr>
        <w:keepNext/>
        <w:jc w:val="center"/>
      </w:pPr>
      <w:r>
        <w:drawing>
          <wp:inline xmlns:a="http://schemas.openxmlformats.org/drawingml/2006/main" xmlns:pic="http://schemas.openxmlformats.org/drawingml/2006/picture">
            <wp:extent cx="4128000" cy="7200000"/>
            <wp:docPr id="1" name="Picture 1"/>
            <wp:cNvGraphicFramePr>
              <a:graphicFrameLocks noChangeAspect="1"/>
            </wp:cNvGraphicFramePr>
            <a:graphic>
              <a:graphicData uri="http://schemas.openxmlformats.org/drawingml/2006/picture">
                <pic:pic>
                  <pic:nvPicPr>
                    <pic:cNvPr id="0" name="fig1_asis_aplicaciones_girada.png"/>
                    <pic:cNvPicPr/>
                  </pic:nvPicPr>
                  <pic:blipFill>
                    <a:blip r:embed="rId10"/>
                    <a:stretch>
                      <a:fillRect/>
                    </a:stretch>
                  </pic:blipFill>
                  <pic:spPr>
                    <a:xfrm>
                      <a:off x="0" y="0"/>
                      <a:ext cx="4128000" cy="7200000"/>
                    </a:xfrm>
                    <a:prstGeom prst="rect"/>
                  </pic:spPr>
                </pic:pic>
              </a:graphicData>
            </a:graphic>
          </wp:inline>
        </w:drawing>
      </w:r>
    </w:p>
    <w:p>
      <w:pPr>
        <w:spacing w:after="160"/>
      </w:pPr>
      <w:r>
        <w:rPr>
          <w:i/>
          <w:sz w:val="19"/>
        </w:rPr>
        <w:t>Figura 1.</w:t>
      </w:r>
      <w:r>
        <w:rPr>
          <w:sz w:val="19"/>
        </w:rPr>
        <w:t xml:space="preserve"> Vista de cooperación de aplicaciones del estado actual. Elaboración propia en notación ArchiMate 3.2, con datos de Vega Fernández (2026, §6 y §7).</w:t>
      </w:r>
    </w:p>
    <w:p>
      <w:r>
        <w:t>La vista muestra por qué la historia clínica única no es un proyecto de software: hay dos sistemas asistenciales que no se hablan, ninguno es dueño de la identidad del paciente, y las dos integraciones que más dinero mueven —hacia facturación y hacia el negocio B2B— leen la base de datos de otro sistema.</w:t>
      </w:r>
    </w:p>
    <w:p>
      <w:pPr>
        <w:pStyle w:val="Heading1"/>
      </w:pPr>
      <w:r>
        <w:t>3. Arquitectura TO-BE</w:t>
      </w:r>
    </w:p>
    <w:tbl>
      <w:tblPr>
        <w:tblW w:type="auto" w:w="0"/>
        <w:tblLook w:firstColumn="1" w:firstRow="1" w:lastColumn="0" w:lastRow="0" w:noHBand="0" w:noVBand="1" w:val="04A0"/>
      </w:tblPr>
      <w:tblGrid>
        <w:gridCol w:w="9406"/>
      </w:tblGrid>
      <w:tr>
        <w:trPr>
          <w:cantSplit w:val="true"/>
        </w:trPr>
        <w:tc>
          <w:tcPr>
            <w:tcW w:type="dxa" w:w="9406"/>
            <w:shd w:val="clear" w:color="auto" w:fill="EEF3FA"/>
            <w:tcBorders>
              <w:top w:val="nil"/>
              <w:bottom w:val="nil"/>
              <w:right w:val="nil"/>
              <w:left w:val="single" w:sz="24" w:color="C2622C"/>
            </w:tcBorders>
          </w:tcPr>
          <w:p>
            <w:r>
              <w:rPr>
                <w:b/>
                <w:sz w:val="20"/>
              </w:rPr>
              <w:t>Qué hacer en esta sección.</w:t>
            </w:r>
            <w:r>
              <w:rPr>
                <w:sz w:val="20"/>
              </w:rPr>
              <w:t xml:space="preserve"> Definan el estado objetivo con las mismas cuatro piezas del AS-IS, para que se puedan comparar: modelo operativo objetivo, capacidades nuevas o transformadas, aplicaciones y tecnología futuras, y </w:t>
            </w:r>
            <w:r>
              <w:rPr>
                <w:b/>
                <w:sz w:val="20"/>
              </w:rPr>
              <w:t>al menos dos vistas ArchiMate</w:t>
            </w:r>
            <w:r>
              <w:rPr>
                <w:sz w:val="20"/>
              </w:rPr>
              <w:t>. El TO-BE no es la lista de deseos de TI: es la arquitectura mínima que ejecuta la estrategia. Cada capacidad nueva tiene que realizar una apuesta; si no realiza ninguna, sobra.</w:t>
            </w:r>
          </w:p>
          <w:p>
            <w:r>
              <w:rPr>
                <w:b/>
                <w:sz w:val="19"/>
              </w:rPr>
              <w:t>Se califica en:</w:t>
            </w:r>
            <w:r>
              <w:rPr>
                <w:sz w:val="19"/>
              </w:rPr>
              <w:t xml:space="preserve"> Arquitecturas AS-IS y TO-BE (1,5) — la coherencia entre ambas es lo que separa el 1,5 del 1,2 · </w:t>
            </w:r>
            <w:r>
              <w:rPr>
                <w:b/>
                <w:sz w:val="19"/>
              </w:rPr>
              <w:t>Se prepara con:</w:t>
            </w:r>
            <w:r>
              <w:rPr>
                <w:sz w:val="19"/>
              </w:rPr>
              <w:t xml:space="preserve"> F-31 · </w:t>
            </w:r>
            <w:r>
              <w:rPr>
                <w:b/>
                <w:sz w:val="19"/>
              </w:rPr>
              <w:t>Cuándo:</w:t>
            </w:r>
            <w:r>
              <w:rPr>
                <w:sz w:val="19"/>
              </w:rPr>
              <w:t xml:space="preserve"> fuera de clase.</w:t>
            </w:r>
          </w:p>
          <w:p>
            <w:r>
              <w:rPr>
                <w:i/>
                <w:sz w:val="19"/>
              </w:rPr>
              <w:t>Este recuadro es una ayuda para leer el ejemplo: no va en su informe.</w:t>
            </w:r>
          </w:p>
        </w:tc>
      </w:tr>
    </w:tbl>
    <w:p>
      <w:pPr>
        <w:spacing w:after="40"/>
      </w:pPr>
    </w:p>
    <w:p>
      <w:pPr>
        <w:pStyle w:val="Heading2"/>
      </w:pPr>
      <w:r>
        <w:t>3.1 Modelo operativo objetivo</w:t>
      </w:r>
    </w:p>
    <w:p>
      <w:r>
        <w:rPr>
          <w:b/>
        </w:rPr>
        <w:t>Unificación, pero solo en tres dominios de datos</w:t>
      </w:r>
      <w:r>
        <w:t>: identidad del paciente, prestación clínica y ciclo de ingresos. Las sedes conservan su proceso replicado —que ya es estándar— y se integra lo que las cinco apuestas necesitan compartir. No se propone unificar el ERP, la farmacia ni la gestión de turnos: ninguna apuesta de Andina 2029 lo exige, y el presupuesto no alcanza para lo que no se exige.</w:t>
      </w:r>
    </w:p>
    <w:p>
      <w:r>
        <w:t>Weill y Woerner (2018) advierten que el error más común es empezar por la tecnología y no por el modelo de negocio. Aquí se empieza por las cinco apuestas: cada capacidad de la Tabla 5 dice cuál realiza, y la Figura 2 lo dibuja.</w:t>
      </w:r>
    </w:p>
    <w:p>
      <w:pPr>
        <w:pStyle w:val="Heading2"/>
      </w:pPr>
      <w:r>
        <w:t>3.2 Capacidades</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2268"/>
            <w:shd w:val="clear" w:color="auto" w:fill="DCE6F2"/>
          </w:tcPr>
          <w:p>
            <w:pPr>
              <w:spacing w:after="20"/>
            </w:pPr>
            <w:r/>
            <w:r>
              <w:rPr>
                <w:b/>
                <w:sz w:val="18"/>
              </w:rPr>
              <w:t>Capacidad</w:t>
            </w:r>
          </w:p>
        </w:tc>
        <w:tc>
          <w:tcPr>
            <w:tcW w:type="dxa" w:w="1134"/>
            <w:shd w:val="clear" w:color="auto" w:fill="DCE6F2"/>
          </w:tcPr>
          <w:p>
            <w:pPr>
              <w:spacing w:after="20"/>
            </w:pPr>
            <w:r/>
            <w:r>
              <w:rPr>
                <w:b/>
                <w:sz w:val="18"/>
              </w:rPr>
              <w:t>Estado</w:t>
            </w:r>
          </w:p>
        </w:tc>
        <w:tc>
          <w:tcPr>
            <w:tcW w:type="dxa" w:w="3855"/>
            <w:shd w:val="clear" w:color="auto" w:fill="DCE6F2"/>
          </w:tcPr>
          <w:p>
            <w:pPr>
              <w:spacing w:after="20"/>
            </w:pPr>
            <w:r/>
            <w:r>
              <w:rPr>
                <w:b/>
                <w:sz w:val="18"/>
              </w:rPr>
              <w:t>Qué cambia</w:t>
            </w:r>
          </w:p>
        </w:tc>
        <w:tc>
          <w:tcPr>
            <w:tcW w:type="dxa" w:w="907"/>
            <w:shd w:val="clear" w:color="auto" w:fill="DCE6F2"/>
          </w:tcPr>
          <w:p>
            <w:pPr>
              <w:spacing w:after="20"/>
            </w:pPr>
            <w:r/>
            <w:r>
              <w:rPr>
                <w:b/>
                <w:sz w:val="18"/>
              </w:rPr>
              <w:t>Apuesta</w:t>
            </w:r>
          </w:p>
        </w:tc>
        <w:tc>
          <w:tcPr>
            <w:tcW w:type="dxa" w:w="1020"/>
            <w:shd w:val="clear" w:color="auto" w:fill="DCE6F2"/>
          </w:tcPr>
          <w:p>
            <w:pPr>
              <w:spacing w:after="20"/>
            </w:pPr>
            <w:r/>
            <w:r>
              <w:rPr>
                <w:b/>
                <w:sz w:val="18"/>
              </w:rPr>
              <w:t>Principio</w:t>
            </w:r>
          </w:p>
        </w:tc>
      </w:tr>
      <w:tr>
        <w:tc>
          <w:tcPr>
            <w:tcW w:type="dxa" w:w="2268"/>
          </w:tcPr>
          <w:p>
            <w:pPr>
              <w:spacing w:after="20"/>
            </w:pPr>
            <w:r/>
            <w:r>
              <w:rPr>
                <w:sz w:val="18"/>
              </w:rPr>
              <w:t>Gestión de la identidad del paciente</w:t>
            </w:r>
          </w:p>
        </w:tc>
        <w:tc>
          <w:tcPr>
            <w:tcW w:type="dxa" w:w="1134"/>
          </w:tcPr>
          <w:p>
            <w:pPr>
              <w:spacing w:after="20"/>
            </w:pPr>
            <w:r/>
            <w:r>
              <w:rPr>
                <w:sz w:val="18"/>
              </w:rPr>
              <w:t>Nueva</w:t>
            </w:r>
          </w:p>
        </w:tc>
        <w:tc>
          <w:tcPr>
            <w:tcW w:type="dxa" w:w="3855"/>
          </w:tcPr>
          <w:p>
            <w:pPr>
              <w:spacing w:after="20"/>
            </w:pPr>
            <w:r/>
            <w:r>
              <w:rPr>
                <w:sz w:val="18"/>
              </w:rPr>
              <w:t>Índice maestro único; ningún sistema crea pacientes por su cuenta</w:t>
            </w:r>
          </w:p>
        </w:tc>
        <w:tc>
          <w:tcPr>
            <w:tcW w:type="dxa" w:w="907"/>
          </w:tcPr>
          <w:p>
            <w:pPr>
              <w:spacing w:after="20"/>
            </w:pPr>
            <w:r/>
            <w:r>
              <w:rPr>
                <w:sz w:val="18"/>
              </w:rPr>
              <w:t>1 y 2</w:t>
            </w:r>
          </w:p>
        </w:tc>
        <w:tc>
          <w:tcPr>
            <w:tcW w:type="dxa" w:w="1020"/>
          </w:tcPr>
          <w:p>
            <w:pPr>
              <w:spacing w:after="20"/>
            </w:pPr>
            <w:r/>
            <w:r>
              <w:rPr>
                <w:sz w:val="18"/>
              </w:rPr>
              <w:t>P2</w:t>
            </w:r>
          </w:p>
        </w:tc>
      </w:tr>
      <w:tr>
        <w:tc>
          <w:tcPr>
            <w:tcW w:type="dxa" w:w="2268"/>
          </w:tcPr>
          <w:p>
            <w:pPr>
              <w:spacing w:after="20"/>
            </w:pPr>
            <w:r/>
            <w:r>
              <w:rPr>
                <w:sz w:val="18"/>
              </w:rPr>
              <w:t>Interoperabilidad clínica</w:t>
            </w:r>
          </w:p>
        </w:tc>
        <w:tc>
          <w:tcPr>
            <w:tcW w:type="dxa" w:w="1134"/>
          </w:tcPr>
          <w:p>
            <w:pPr>
              <w:spacing w:after="20"/>
            </w:pPr>
            <w:r/>
            <w:r>
              <w:rPr>
                <w:sz w:val="18"/>
              </w:rPr>
              <w:t>Nueva</w:t>
            </w:r>
          </w:p>
        </w:tc>
        <w:tc>
          <w:tcPr>
            <w:tcW w:type="dxa" w:w="3855"/>
          </w:tcPr>
          <w:p>
            <w:pPr>
              <w:spacing w:after="20"/>
            </w:pPr>
            <w:r/>
            <w:r>
              <w:rPr>
                <w:sz w:val="18"/>
              </w:rPr>
              <w:t>Resumen Digital de Atención (Resolución 1888 de 2025) y catálogos homologados, desde los dos HIS</w:t>
            </w:r>
          </w:p>
        </w:tc>
        <w:tc>
          <w:tcPr>
            <w:tcW w:type="dxa" w:w="907"/>
          </w:tcPr>
          <w:p>
            <w:pPr>
              <w:spacing w:after="20"/>
            </w:pPr>
            <w:r/>
            <w:r>
              <w:rPr>
                <w:sz w:val="18"/>
              </w:rPr>
              <w:t>1</w:t>
            </w:r>
          </w:p>
        </w:tc>
        <w:tc>
          <w:tcPr>
            <w:tcW w:type="dxa" w:w="1020"/>
          </w:tcPr>
          <w:p>
            <w:pPr>
              <w:spacing w:after="20"/>
            </w:pPr>
            <w:r/>
            <w:r>
              <w:rPr>
                <w:sz w:val="18"/>
              </w:rPr>
              <w:t>P6</w:t>
            </w:r>
          </w:p>
        </w:tc>
      </w:tr>
      <w:tr>
        <w:tc>
          <w:tcPr>
            <w:tcW w:type="dxa" w:w="2268"/>
          </w:tcPr>
          <w:p>
            <w:pPr>
              <w:spacing w:after="20"/>
            </w:pPr>
            <w:r/>
            <w:r>
              <w:rPr>
                <w:sz w:val="18"/>
              </w:rPr>
              <w:t>Integración por contrato</w:t>
            </w:r>
          </w:p>
        </w:tc>
        <w:tc>
          <w:tcPr>
            <w:tcW w:type="dxa" w:w="1134"/>
          </w:tcPr>
          <w:p>
            <w:pPr>
              <w:spacing w:after="20"/>
            </w:pPr>
            <w:r/>
            <w:r>
              <w:rPr>
                <w:sz w:val="18"/>
              </w:rPr>
              <w:t>Nueva</w:t>
            </w:r>
          </w:p>
        </w:tc>
        <w:tc>
          <w:tcPr>
            <w:tcW w:type="dxa" w:w="3855"/>
          </w:tcPr>
          <w:p>
            <w:pPr>
              <w:spacing w:after="20"/>
            </w:pPr>
            <w:r/>
            <w:r>
              <w:rPr>
                <w:sz w:val="18"/>
              </w:rPr>
              <w:t>Toda interfaz nueva pasa por el bus o por API versionada</w:t>
            </w:r>
          </w:p>
        </w:tc>
        <w:tc>
          <w:tcPr>
            <w:tcW w:type="dxa" w:w="907"/>
          </w:tcPr>
          <w:p>
            <w:pPr>
              <w:spacing w:after="20"/>
            </w:pPr>
            <w:r/>
            <w:r>
              <w:rPr>
                <w:sz w:val="18"/>
              </w:rPr>
              <w:t>4</w:t>
            </w:r>
          </w:p>
        </w:tc>
        <w:tc>
          <w:tcPr>
            <w:tcW w:type="dxa" w:w="1020"/>
          </w:tcPr>
          <w:p>
            <w:pPr>
              <w:spacing w:after="20"/>
            </w:pPr>
            <w:r/>
            <w:r>
              <w:rPr>
                <w:sz w:val="18"/>
              </w:rPr>
              <w:t>P3</w:t>
            </w:r>
          </w:p>
        </w:tc>
      </w:tr>
      <w:tr>
        <w:tc>
          <w:tcPr>
            <w:tcW w:type="dxa" w:w="2268"/>
          </w:tcPr>
          <w:p>
            <w:pPr>
              <w:spacing w:after="20"/>
            </w:pPr>
            <w:r/>
            <w:r>
              <w:rPr>
                <w:sz w:val="18"/>
              </w:rPr>
              <w:t>Calidad del dato en el origen</w:t>
            </w:r>
          </w:p>
        </w:tc>
        <w:tc>
          <w:tcPr>
            <w:tcW w:type="dxa" w:w="1134"/>
          </w:tcPr>
          <w:p>
            <w:pPr>
              <w:spacing w:after="20"/>
            </w:pPr>
            <w:r/>
            <w:r>
              <w:rPr>
                <w:sz w:val="18"/>
              </w:rPr>
              <w:t>Nueva</w:t>
            </w:r>
          </w:p>
        </w:tc>
        <w:tc>
          <w:tcPr>
            <w:tcW w:type="dxa" w:w="3855"/>
          </w:tcPr>
          <w:p>
            <w:pPr>
              <w:spacing w:after="20"/>
            </w:pPr>
            <w:r/>
            <w:r>
              <w:rPr>
                <w:sz w:val="18"/>
              </w:rPr>
              <w:t>Tarifa y RIPS se validan en la facturación, no en conciliación</w:t>
            </w:r>
          </w:p>
        </w:tc>
        <w:tc>
          <w:tcPr>
            <w:tcW w:type="dxa" w:w="907"/>
          </w:tcPr>
          <w:p>
            <w:pPr>
              <w:spacing w:after="20"/>
            </w:pPr>
            <w:r/>
            <w:r>
              <w:rPr>
                <w:sz w:val="18"/>
              </w:rPr>
              <w:t>5</w:t>
            </w:r>
          </w:p>
        </w:tc>
        <w:tc>
          <w:tcPr>
            <w:tcW w:type="dxa" w:w="1020"/>
          </w:tcPr>
          <w:p>
            <w:pPr>
              <w:spacing w:after="20"/>
            </w:pPr>
            <w:r/>
            <w:r>
              <w:rPr>
                <w:sz w:val="18"/>
              </w:rPr>
              <w:t>P8</w:t>
            </w:r>
          </w:p>
        </w:tc>
      </w:tr>
      <w:tr>
        <w:tc>
          <w:tcPr>
            <w:tcW w:type="dxa" w:w="2268"/>
          </w:tcPr>
          <w:p>
            <w:pPr>
              <w:spacing w:after="20"/>
            </w:pPr>
            <w:r/>
            <w:r>
              <w:rPr>
                <w:sz w:val="18"/>
              </w:rPr>
              <w:t>Atención virtual integrada</w:t>
            </w:r>
          </w:p>
        </w:tc>
        <w:tc>
          <w:tcPr>
            <w:tcW w:type="dxa" w:w="1134"/>
          </w:tcPr>
          <w:p>
            <w:pPr>
              <w:spacing w:after="20"/>
            </w:pPr>
            <w:r/>
            <w:r>
              <w:rPr>
                <w:sz w:val="18"/>
              </w:rPr>
              <w:t>Transformada</w:t>
            </w:r>
          </w:p>
        </w:tc>
        <w:tc>
          <w:tcPr>
            <w:tcW w:type="dxa" w:w="3855"/>
          </w:tcPr>
          <w:p>
            <w:pPr>
              <w:spacing w:after="20"/>
            </w:pPr>
            <w:r/>
            <w:r>
              <w:rPr>
                <w:sz w:val="18"/>
              </w:rPr>
              <w:t>La teleconsulta usa la agenda maestra y escribe en la historia</w:t>
            </w:r>
          </w:p>
        </w:tc>
        <w:tc>
          <w:tcPr>
            <w:tcW w:type="dxa" w:w="907"/>
          </w:tcPr>
          <w:p>
            <w:pPr>
              <w:spacing w:after="20"/>
            </w:pPr>
            <w:r/>
            <w:r>
              <w:rPr>
                <w:sz w:val="18"/>
              </w:rPr>
              <w:t>3</w:t>
            </w:r>
          </w:p>
        </w:tc>
        <w:tc>
          <w:tcPr>
            <w:tcW w:type="dxa" w:w="1020"/>
          </w:tcPr>
          <w:p>
            <w:pPr>
              <w:spacing w:after="20"/>
            </w:pPr>
            <w:r/>
            <w:r>
              <w:rPr>
                <w:sz w:val="18"/>
              </w:rPr>
              <w:t>P4</w:t>
            </w:r>
          </w:p>
        </w:tc>
      </w:tr>
      <w:tr>
        <w:tc>
          <w:tcPr>
            <w:tcW w:type="dxa" w:w="2268"/>
          </w:tcPr>
          <w:p>
            <w:pPr>
              <w:spacing w:after="20"/>
            </w:pPr>
            <w:r/>
            <w:r>
              <w:rPr>
                <w:sz w:val="18"/>
              </w:rPr>
              <w:t>Venta B2B repetible</w:t>
            </w:r>
          </w:p>
        </w:tc>
        <w:tc>
          <w:tcPr>
            <w:tcW w:type="dxa" w:w="1134"/>
          </w:tcPr>
          <w:p>
            <w:pPr>
              <w:spacing w:after="20"/>
            </w:pPr>
            <w:r/>
            <w:r>
              <w:rPr>
                <w:sz w:val="18"/>
              </w:rPr>
              <w:t>Transformada</w:t>
            </w:r>
          </w:p>
        </w:tc>
        <w:tc>
          <w:tcPr>
            <w:tcW w:type="dxa" w:w="3855"/>
          </w:tcPr>
          <w:p>
            <w:pPr>
              <w:spacing w:after="20"/>
            </w:pPr>
            <w:r/>
            <w:r>
              <w:rPr>
                <w:sz w:val="18"/>
              </w:rPr>
              <w:t>Un cliente nuevo se conecta por API estándar, sin desarrollo a la medida</w:t>
            </w:r>
          </w:p>
        </w:tc>
        <w:tc>
          <w:tcPr>
            <w:tcW w:type="dxa" w:w="907"/>
          </w:tcPr>
          <w:p>
            <w:pPr>
              <w:spacing w:after="20"/>
            </w:pPr>
            <w:r/>
            <w:r>
              <w:rPr>
                <w:sz w:val="18"/>
              </w:rPr>
              <w:t>4</w:t>
            </w:r>
          </w:p>
        </w:tc>
        <w:tc>
          <w:tcPr>
            <w:tcW w:type="dxa" w:w="1020"/>
          </w:tcPr>
          <w:p>
            <w:pPr>
              <w:spacing w:after="20"/>
            </w:pPr>
            <w:r/>
            <w:r>
              <w:rPr>
                <w:sz w:val="18"/>
              </w:rPr>
              <w:t>P3</w:t>
            </w:r>
          </w:p>
        </w:tc>
      </w:tr>
      <w:tr>
        <w:tc>
          <w:tcPr>
            <w:tcW w:type="dxa" w:w="2268"/>
          </w:tcPr>
          <w:p>
            <w:pPr>
              <w:spacing w:after="20"/>
            </w:pPr>
            <w:r/>
            <w:r>
              <w:rPr>
                <w:sz w:val="18"/>
              </w:rPr>
              <w:t>Visión 360 del paciente</w:t>
            </w:r>
          </w:p>
        </w:tc>
        <w:tc>
          <w:tcPr>
            <w:tcW w:type="dxa" w:w="1134"/>
          </w:tcPr>
          <w:p>
            <w:pPr>
              <w:spacing w:after="20"/>
            </w:pPr>
            <w:r/>
            <w:r>
              <w:rPr>
                <w:sz w:val="18"/>
              </w:rPr>
              <w:t>Nueva (T+2)</w:t>
            </w:r>
          </w:p>
        </w:tc>
        <w:tc>
          <w:tcPr>
            <w:tcW w:type="dxa" w:w="3855"/>
          </w:tcPr>
          <w:p>
            <w:pPr>
              <w:spacing w:after="20"/>
            </w:pPr>
            <w:r/>
            <w:r>
              <w:rPr>
                <w:sz w:val="18"/>
              </w:rPr>
              <w:t>Analítica sobre el índice maestro y los datos homologados</w:t>
            </w:r>
          </w:p>
        </w:tc>
        <w:tc>
          <w:tcPr>
            <w:tcW w:type="dxa" w:w="907"/>
          </w:tcPr>
          <w:p>
            <w:pPr>
              <w:spacing w:after="20"/>
            </w:pPr>
            <w:r/>
            <w:r>
              <w:rPr>
                <w:sz w:val="18"/>
              </w:rPr>
              <w:t>2</w:t>
            </w:r>
          </w:p>
        </w:tc>
        <w:tc>
          <w:tcPr>
            <w:tcW w:type="dxa" w:w="1020"/>
          </w:tcPr>
          <w:p>
            <w:pPr>
              <w:spacing w:after="20"/>
            </w:pPr>
            <w:r/>
            <w:r>
              <w:rPr>
                <w:sz w:val="18"/>
              </w:rPr>
              <w:t>P2</w:t>
            </w:r>
          </w:p>
        </w:tc>
      </w:tr>
      <w:tr>
        <w:tc>
          <w:tcPr>
            <w:tcW w:type="dxa" w:w="2268"/>
          </w:tcPr>
          <w:p>
            <w:pPr>
              <w:spacing w:after="20"/>
            </w:pPr>
            <w:r/>
            <w:r>
              <w:rPr>
                <w:sz w:val="18"/>
              </w:rPr>
              <w:t>Continuidad observable</w:t>
            </w:r>
          </w:p>
        </w:tc>
        <w:tc>
          <w:tcPr>
            <w:tcW w:type="dxa" w:w="1134"/>
          </w:tcPr>
          <w:p>
            <w:pPr>
              <w:spacing w:after="20"/>
            </w:pPr>
            <w:r/>
            <w:r>
              <w:rPr>
                <w:sz w:val="18"/>
              </w:rPr>
              <w:t>Transformada</w:t>
            </w:r>
          </w:p>
        </w:tc>
        <w:tc>
          <w:tcPr>
            <w:tcW w:type="dxa" w:w="3855"/>
          </w:tcPr>
          <w:p>
            <w:pPr>
              <w:spacing w:after="20"/>
            </w:pPr>
            <w:r/>
            <w:r>
              <w:rPr>
                <w:sz w:val="18"/>
              </w:rPr>
              <w:t>Monitoreo de servicio y modo degradado probado</w:t>
            </w:r>
          </w:p>
        </w:tc>
        <w:tc>
          <w:tcPr>
            <w:tcW w:type="dxa" w:w="907"/>
          </w:tcPr>
          <w:p>
            <w:pPr>
              <w:spacing w:after="20"/>
            </w:pPr>
            <w:r/>
            <w:r>
              <w:rPr>
                <w:sz w:val="18"/>
              </w:rPr>
              <w:t>Todas</w:t>
            </w:r>
          </w:p>
        </w:tc>
        <w:tc>
          <w:tcPr>
            <w:tcW w:type="dxa" w:w="1020"/>
          </w:tcPr>
          <w:p>
            <w:pPr>
              <w:spacing w:after="20"/>
            </w:pPr>
            <w:r/>
            <w:r>
              <w:rPr>
                <w:sz w:val="18"/>
              </w:rPr>
              <w:t>P1</w:t>
            </w:r>
          </w:p>
        </w:tc>
      </w:tr>
    </w:tbl>
    <w:p>
      <w:pPr>
        <w:spacing w:after="40"/>
      </w:pPr>
    </w:p>
    <w:p>
      <w:r>
        <w:rPr>
          <w:i/>
          <w:sz w:val="19"/>
        </w:rPr>
        <w:t>Tabla 5.</w:t>
      </w:r>
      <w:r>
        <w:rPr>
          <w:sz w:val="19"/>
        </w:rPr>
        <w:t xml:space="preserve"> Capacidades del estado objetivo. Los principios son los de la Unidad 3 (F-23).</w:t>
      </w:r>
    </w:p>
    <w:p>
      <w:pPr>
        <w:keepNext/>
        <w:jc w:val="center"/>
      </w:pPr>
      <w:r>
        <w:drawing>
          <wp:inline xmlns:a="http://schemas.openxmlformats.org/drawingml/2006/main" xmlns:pic="http://schemas.openxmlformats.org/drawingml/2006/picture">
            <wp:extent cx="2688000" cy="7200000"/>
            <wp:docPr id="2" name="Picture 2"/>
            <wp:cNvGraphicFramePr>
              <a:graphicFrameLocks noChangeAspect="1"/>
            </wp:cNvGraphicFramePr>
            <a:graphic>
              <a:graphicData uri="http://schemas.openxmlformats.org/drawingml/2006/picture">
                <pic:pic>
                  <pic:nvPicPr>
                    <pic:cNvPr id="0" name="fig3_tobe_capacidades_girada.png"/>
                    <pic:cNvPicPr/>
                  </pic:nvPicPr>
                  <pic:blipFill>
                    <a:blip r:embed="rId11"/>
                    <a:stretch>
                      <a:fillRect/>
                    </a:stretch>
                  </pic:blipFill>
                  <pic:spPr>
                    <a:xfrm>
                      <a:off x="0" y="0"/>
                      <a:ext cx="2688000" cy="7200000"/>
                    </a:xfrm>
                    <a:prstGeom prst="rect"/>
                  </pic:spPr>
                </pic:pic>
              </a:graphicData>
            </a:graphic>
          </wp:inline>
        </w:drawing>
      </w:r>
    </w:p>
    <w:p>
      <w:pPr>
        <w:spacing w:after="160"/>
      </w:pPr>
      <w:r>
        <w:rPr>
          <w:i/>
          <w:sz w:val="19"/>
        </w:rPr>
        <w:t>Figura 2.</w:t>
      </w:r>
      <w:r>
        <w:rPr>
          <w:sz w:val="19"/>
        </w:rPr>
        <w:t xml:space="preserve"> Vista de estrategia: capacidades que realizan las apuestas de Andina 2029. Elaboración propia en notación ArchiMate 3.2.</w:t>
      </w:r>
    </w:p>
    <w:p>
      <w:pPr>
        <w:pStyle w:val="Heading2"/>
      </w:pPr>
      <w:r>
        <w:t>3.3 Aplicaciones y tecnología</w:t>
      </w:r>
    </w:p>
    <w:p>
      <w:r>
        <w:t>Los dos HIS siguen vivos al menos hasta el mes 18 (alternativa A de la Unidad 2), detrás de un índice maestro de pacientes y de adaptadores sobre el bus ya adquirido. Las integraciones que hoy leen bases de datos —HIS-CORE hacia FACT-SALUD y PORTAL-B2B hacia LIS-LAB— pasan a contratos publicados. TELEMED deja de usar su agenda y consume AGENDA-WEB. El Resumen Digital de Atención sale de un solo servicio, que toma la identidad del índice maestro. Lo que no cambia se dice: ERP-ADM, PACS-RIS y la mensajería HIS-CORE–PACS-RIS se quedan como están.</w:t>
      </w:r>
    </w:p>
    <w:p>
      <w:r>
        <w:t>Las validaciones de FACT-SALUD (D3) siguen la estructura del RIPS como soporte de la factura electrónica de venta, que es obligatoria para los prestadores (Ministerio de Salud y Protección Social, 2023): la glosa por calidad del dato se ataca con la misma regla que ya exige la norma.</w:t>
      </w:r>
    </w:p>
    <w:p>
      <w:r>
        <w:t>Monitoreo de servicio de extremo a extremo sobre los cuatro flujos críticos (atención, laboratorio, facturación, agendamiento); un lineamiento de nube con un catálogo de plataformas aprobadas; un plan de recuperación probado en el año 1 y un sitio alterno en T+2. No se propone migrar el centro de datos a la nube: el apetito de riesgo de la organización frente a la nube para información clínica no está definido (§14) y definirlo es una decisión del consejo, no de este roadmap.</w:t>
      </w:r>
    </w:p>
    <w:p>
      <w:pPr>
        <w:keepNext/>
        <w:jc w:val="center"/>
      </w:pPr>
      <w:r>
        <w:drawing>
          <wp:inline xmlns:a="http://schemas.openxmlformats.org/drawingml/2006/main" xmlns:pic="http://schemas.openxmlformats.org/drawingml/2006/picture">
            <wp:extent cx="4224000" cy="7200000"/>
            <wp:docPr id="3" name="Picture 3"/>
            <wp:cNvGraphicFramePr>
              <a:graphicFrameLocks noChangeAspect="1"/>
            </wp:cNvGraphicFramePr>
            <a:graphic>
              <a:graphicData uri="http://schemas.openxmlformats.org/drawingml/2006/picture">
                <pic:pic>
                  <pic:nvPicPr>
                    <pic:cNvPr id="0" name="fig2_tobe_aplicaciones_girada.png"/>
                    <pic:cNvPicPr/>
                  </pic:nvPicPr>
                  <pic:blipFill>
                    <a:blip r:embed="rId12"/>
                    <a:stretch>
                      <a:fillRect/>
                    </a:stretch>
                  </pic:blipFill>
                  <pic:spPr>
                    <a:xfrm>
                      <a:off x="0" y="0"/>
                      <a:ext cx="4224000" cy="7200000"/>
                    </a:xfrm>
                    <a:prstGeom prst="rect"/>
                  </pic:spPr>
                </pic:pic>
              </a:graphicData>
            </a:graphic>
          </wp:inline>
        </w:drawing>
      </w:r>
    </w:p>
    <w:p>
      <w:pPr>
        <w:spacing w:after="160"/>
      </w:pPr>
      <w:r>
        <w:rPr>
          <w:i/>
          <w:sz w:val="19"/>
        </w:rPr>
        <w:t>Figura 3.</w:t>
      </w:r>
      <w:r>
        <w:rPr>
          <w:sz w:val="19"/>
        </w:rPr>
        <w:t xml:space="preserve"> Vista de cooperación de aplicaciones del estado objetivo en el mes 18. Elaboración propia en notación ArchiMate 3.2. El borde indica si el elemento es nuevo, se transforma o no cambia.</w:t>
      </w:r>
    </w:p>
    <w:p>
      <w:r>
        <w:rPr>
          <w:b/>
        </w:rPr>
        <w:t>Coherencia con el AS-IS.</w:t>
      </w:r>
      <w:r>
        <w:t xml:space="preserve"> Cada caja de la Figura 3 existe en la Figura 1 o es nueva, y cada flecha roja o gris de la Figura 1 desaparece o se vuelve azul. Esa correspondencia es el análisis de brechas de la sección siguiente.</w:t>
      </w:r>
    </w:p>
    <w:p>
      <w:pPr>
        <w:pStyle w:val="Heading1"/>
      </w:pPr>
      <w:r>
        <w:t>4. Análisis de brechas por dominio</w:t>
      </w:r>
    </w:p>
    <w:tbl>
      <w:tblPr>
        <w:tblW w:type="auto" w:w="0"/>
        <w:tblLook w:firstColumn="1" w:firstRow="1" w:lastColumn="0" w:lastRow="0" w:noHBand="0" w:noVBand="1" w:val="04A0"/>
      </w:tblPr>
      <w:tblGrid>
        <w:gridCol w:w="9406"/>
      </w:tblGrid>
      <w:tr>
        <w:trPr>
          <w:cantSplit w:val="true"/>
        </w:trPr>
        <w:tc>
          <w:tcPr>
            <w:tcW w:type="dxa" w:w="9406"/>
            <w:shd w:val="clear" w:color="auto" w:fill="EEF3FA"/>
            <w:tcBorders>
              <w:top w:val="nil"/>
              <w:bottom w:val="nil"/>
              <w:right w:val="nil"/>
              <w:left w:val="single" w:sz="24" w:color="C2622C"/>
            </w:tcBorders>
          </w:tcPr>
          <w:p>
            <w:r>
              <w:rPr>
                <w:b/>
                <w:sz w:val="20"/>
              </w:rPr>
              <w:t>Qué hacer en esta sección.</w:t>
            </w:r>
            <w:r>
              <w:rPr>
                <w:sz w:val="20"/>
              </w:rPr>
              <w:t xml:space="preserve"> Comparen el AS-IS con el TO-BE, dominio por dominio: negocio, datos, aplicaciones y tecnología. Para cada brecha digan qué hay, qué debe haber, de qué tipo es —algo que hay que construir, transformar o eliminar— y qué iniciativa la cierra. Una brecha sin iniciativa es un deseo; una iniciativa sin brecha es un proyecto que nadie pidió.</w:t>
            </w:r>
          </w:p>
          <w:p>
            <w:r>
              <w:rPr>
                <w:b/>
                <w:sz w:val="19"/>
              </w:rPr>
              <w:t>Se califica en:</w:t>
            </w:r>
            <w:r>
              <w:rPr>
                <w:sz w:val="19"/>
              </w:rPr>
              <w:t xml:space="preserve"> Gap analysis y roadmap (2,0) · </w:t>
            </w:r>
            <w:r>
              <w:rPr>
                <w:b/>
                <w:sz w:val="19"/>
              </w:rPr>
              <w:t>Se prepara con:</w:t>
            </w:r>
            <w:r>
              <w:rPr>
                <w:sz w:val="19"/>
              </w:rPr>
              <w:t xml:space="preserve"> F-32 · </w:t>
            </w:r>
            <w:r>
              <w:rPr>
                <w:b/>
                <w:sz w:val="19"/>
              </w:rPr>
              <w:t>Cuándo:</w:t>
            </w:r>
            <w:r>
              <w:rPr>
                <w:sz w:val="19"/>
              </w:rPr>
              <w:t xml:space="preserve"> en el taller de la sesión y fuera de clase.</w:t>
            </w:r>
          </w:p>
          <w:p>
            <w:r>
              <w:rPr>
                <w:i/>
                <w:sz w:val="19"/>
              </w:rPr>
              <w:t>Este recuadro es una ayuda para leer el ejemplo: no va en su informe.</w:t>
            </w:r>
          </w:p>
        </w:tc>
      </w:tr>
    </w:tbl>
    <w:p>
      <w:pPr>
        <w:spacing w:after="40"/>
      </w:pPr>
    </w:p>
    <w:p>
      <w:r>
        <w:t>La matriz sigue la técnica de análisis de brechas de TOGAF: se cruzan los elementos del estado actual con los del objetivo y se marca qué se conserva, qué se elimina y qué es nuevo (The Open Group, 2022b). Se listan solo las brechas que exigen una acción; lo que se conserva sin cambio se dijo en la sección 3.3. Son 17 brechas en cuatro dominios; la matriz completa, brecha por brecha, está en el Anexo A.</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568"/>
        <w:gridCol w:w="1568"/>
        <w:gridCol w:w="1568"/>
        <w:gridCol w:w="1568"/>
        <w:gridCol w:w="1568"/>
        <w:gridCol w:w="1568"/>
      </w:tblGrid>
      <w:tr>
        <w:trPr>
          <w:tblHeader w:val="true"/>
        </w:trPr>
        <w:tc>
          <w:tcPr>
            <w:tcW w:type="dxa" w:w="1587"/>
            <w:shd w:val="clear" w:color="auto" w:fill="DCE6F2"/>
          </w:tcPr>
          <w:p>
            <w:pPr>
              <w:spacing w:after="20"/>
            </w:pPr>
            <w:r/>
            <w:r>
              <w:rPr>
                <w:b/>
                <w:sz w:val="18"/>
              </w:rPr>
              <w:t>Dominio</w:t>
            </w:r>
          </w:p>
        </w:tc>
        <w:tc>
          <w:tcPr>
            <w:tcW w:type="dxa" w:w="907"/>
            <w:shd w:val="clear" w:color="auto" w:fill="DCE6F2"/>
          </w:tcPr>
          <w:p>
            <w:pPr>
              <w:spacing w:after="20"/>
            </w:pPr>
            <w:r/>
            <w:r>
              <w:rPr>
                <w:b/>
                <w:sz w:val="18"/>
              </w:rPr>
              <w:t>Brechas</w:t>
            </w:r>
          </w:p>
        </w:tc>
        <w:tc>
          <w:tcPr>
            <w:tcW w:type="dxa" w:w="850"/>
            <w:shd w:val="clear" w:color="auto" w:fill="DCE6F2"/>
          </w:tcPr>
          <w:p>
            <w:pPr>
              <w:spacing w:after="20"/>
            </w:pPr>
            <w:r/>
            <w:r>
              <w:rPr>
                <w:b/>
                <w:sz w:val="18"/>
              </w:rPr>
              <w:t>Nuevo</w:t>
            </w:r>
          </w:p>
        </w:tc>
        <w:tc>
          <w:tcPr>
            <w:tcW w:type="dxa" w:w="1191"/>
            <w:shd w:val="clear" w:color="auto" w:fill="DCE6F2"/>
          </w:tcPr>
          <w:p>
            <w:pPr>
              <w:spacing w:after="20"/>
            </w:pPr>
            <w:r/>
            <w:r>
              <w:rPr>
                <w:b/>
                <w:sz w:val="18"/>
              </w:rPr>
              <w:t>Transformar</w:t>
            </w:r>
          </w:p>
        </w:tc>
        <w:tc>
          <w:tcPr>
            <w:tcW w:type="dxa" w:w="964"/>
            <w:shd w:val="clear" w:color="auto" w:fill="DCE6F2"/>
          </w:tcPr>
          <w:p>
            <w:pPr>
              <w:spacing w:after="20"/>
            </w:pPr>
            <w:r/>
            <w:r>
              <w:rPr>
                <w:b/>
                <w:sz w:val="18"/>
              </w:rPr>
              <w:t>Eliminar</w:t>
            </w:r>
          </w:p>
        </w:tc>
        <w:tc>
          <w:tcPr>
            <w:tcW w:type="dxa" w:w="3685"/>
            <w:shd w:val="clear" w:color="auto" w:fill="DCE6F2"/>
          </w:tcPr>
          <w:p>
            <w:pPr>
              <w:spacing w:after="20"/>
            </w:pPr>
            <w:r/>
            <w:r>
              <w:rPr>
                <w:b/>
                <w:sz w:val="18"/>
              </w:rPr>
              <w:t>Códigos (Anexo A)</w:t>
            </w:r>
          </w:p>
        </w:tc>
      </w:tr>
      <w:tr>
        <w:tc>
          <w:tcPr>
            <w:tcW w:type="dxa" w:w="1587"/>
          </w:tcPr>
          <w:p>
            <w:pPr>
              <w:spacing w:after="20"/>
            </w:pPr>
            <w:r/>
            <w:r>
              <w:rPr>
                <w:b/>
                <w:sz w:val="18"/>
              </w:rPr>
              <w:t>Negocio</w:t>
            </w:r>
          </w:p>
        </w:tc>
        <w:tc>
          <w:tcPr>
            <w:tcW w:type="dxa" w:w="907"/>
          </w:tcPr>
          <w:p>
            <w:pPr>
              <w:spacing w:after="20"/>
            </w:pPr>
            <w:r/>
            <w:r>
              <w:rPr>
                <w:sz w:val="18"/>
              </w:rPr>
              <w:t>4</w:t>
            </w:r>
          </w:p>
        </w:tc>
        <w:tc>
          <w:tcPr>
            <w:tcW w:type="dxa" w:w="850"/>
          </w:tcPr>
          <w:p>
            <w:pPr>
              <w:spacing w:after="20"/>
            </w:pPr>
            <w:r/>
            <w:r>
              <w:rPr>
                <w:sz w:val="18"/>
              </w:rPr>
              <w:t>1</w:t>
            </w:r>
          </w:p>
        </w:tc>
        <w:tc>
          <w:tcPr>
            <w:tcW w:type="dxa" w:w="1191"/>
          </w:tcPr>
          <w:p>
            <w:pPr>
              <w:spacing w:after="20"/>
            </w:pPr>
            <w:r/>
            <w:r>
              <w:rPr>
                <w:sz w:val="18"/>
              </w:rPr>
              <w:t>3</w:t>
            </w:r>
          </w:p>
        </w:tc>
        <w:tc>
          <w:tcPr>
            <w:tcW w:type="dxa" w:w="964"/>
          </w:tcPr>
          <w:p>
            <w:pPr>
              <w:spacing w:after="20"/>
            </w:pPr>
            <w:r/>
            <w:r>
              <w:rPr>
                <w:sz w:val="18"/>
              </w:rPr>
              <w:t>0</w:t>
            </w:r>
          </w:p>
        </w:tc>
        <w:tc>
          <w:tcPr>
            <w:tcW w:type="dxa" w:w="3685"/>
          </w:tcPr>
          <w:p>
            <w:pPr>
              <w:spacing w:after="20"/>
            </w:pPr>
            <w:r/>
            <w:r>
              <w:rPr>
                <w:sz w:val="18"/>
              </w:rPr>
              <w:t>G-N1, G-N2, G-N3, G-N4</w:t>
            </w:r>
          </w:p>
        </w:tc>
      </w:tr>
      <w:tr>
        <w:tc>
          <w:tcPr>
            <w:tcW w:type="dxa" w:w="1587"/>
          </w:tcPr>
          <w:p>
            <w:pPr>
              <w:spacing w:after="20"/>
            </w:pPr>
            <w:r/>
            <w:r>
              <w:rPr>
                <w:b/>
                <w:sz w:val="18"/>
              </w:rPr>
              <w:t>Datos</w:t>
            </w:r>
          </w:p>
        </w:tc>
        <w:tc>
          <w:tcPr>
            <w:tcW w:type="dxa" w:w="907"/>
          </w:tcPr>
          <w:p>
            <w:pPr>
              <w:spacing w:after="20"/>
            </w:pPr>
            <w:r/>
            <w:r>
              <w:rPr>
                <w:sz w:val="18"/>
              </w:rPr>
              <w:t>4</w:t>
            </w:r>
          </w:p>
        </w:tc>
        <w:tc>
          <w:tcPr>
            <w:tcW w:type="dxa" w:w="850"/>
          </w:tcPr>
          <w:p>
            <w:pPr>
              <w:spacing w:after="20"/>
            </w:pPr>
            <w:r/>
            <w:r>
              <w:rPr>
                <w:sz w:val="18"/>
              </w:rPr>
              <w:t>3</w:t>
            </w:r>
          </w:p>
        </w:tc>
        <w:tc>
          <w:tcPr>
            <w:tcW w:type="dxa" w:w="1191"/>
          </w:tcPr>
          <w:p>
            <w:pPr>
              <w:spacing w:after="20"/>
            </w:pPr>
            <w:r/>
            <w:r>
              <w:rPr>
                <w:sz w:val="18"/>
              </w:rPr>
              <w:t>1</w:t>
            </w:r>
          </w:p>
        </w:tc>
        <w:tc>
          <w:tcPr>
            <w:tcW w:type="dxa" w:w="964"/>
          </w:tcPr>
          <w:p>
            <w:pPr>
              <w:spacing w:after="20"/>
            </w:pPr>
            <w:r/>
            <w:r>
              <w:rPr>
                <w:sz w:val="18"/>
              </w:rPr>
              <w:t>0</w:t>
            </w:r>
          </w:p>
        </w:tc>
        <w:tc>
          <w:tcPr>
            <w:tcW w:type="dxa" w:w="3685"/>
          </w:tcPr>
          <w:p>
            <w:pPr>
              <w:spacing w:after="20"/>
            </w:pPr>
            <w:r/>
            <w:r>
              <w:rPr>
                <w:sz w:val="18"/>
              </w:rPr>
              <w:t>G-D1, G-D2, G-D3, G-D4</w:t>
            </w:r>
          </w:p>
        </w:tc>
      </w:tr>
      <w:tr>
        <w:tc>
          <w:tcPr>
            <w:tcW w:type="dxa" w:w="1587"/>
          </w:tcPr>
          <w:p>
            <w:pPr>
              <w:spacing w:after="20"/>
            </w:pPr>
            <w:r/>
            <w:r>
              <w:rPr>
                <w:b/>
                <w:sz w:val="18"/>
              </w:rPr>
              <w:t>Aplicaciones</w:t>
            </w:r>
          </w:p>
        </w:tc>
        <w:tc>
          <w:tcPr>
            <w:tcW w:type="dxa" w:w="907"/>
          </w:tcPr>
          <w:p>
            <w:pPr>
              <w:spacing w:after="20"/>
            </w:pPr>
            <w:r/>
            <w:r>
              <w:rPr>
                <w:sz w:val="18"/>
              </w:rPr>
              <w:t>5</w:t>
            </w:r>
          </w:p>
        </w:tc>
        <w:tc>
          <w:tcPr>
            <w:tcW w:type="dxa" w:w="850"/>
          </w:tcPr>
          <w:p>
            <w:pPr>
              <w:spacing w:after="20"/>
            </w:pPr>
            <w:r/>
            <w:r>
              <w:rPr>
                <w:sz w:val="18"/>
              </w:rPr>
              <w:t>2</w:t>
            </w:r>
          </w:p>
        </w:tc>
        <w:tc>
          <w:tcPr>
            <w:tcW w:type="dxa" w:w="1191"/>
          </w:tcPr>
          <w:p>
            <w:pPr>
              <w:spacing w:after="20"/>
            </w:pPr>
            <w:r/>
            <w:r>
              <w:rPr>
                <w:sz w:val="18"/>
              </w:rPr>
              <w:t>0</w:t>
            </w:r>
          </w:p>
        </w:tc>
        <w:tc>
          <w:tcPr>
            <w:tcW w:type="dxa" w:w="964"/>
          </w:tcPr>
          <w:p>
            <w:pPr>
              <w:spacing w:after="20"/>
            </w:pPr>
            <w:r/>
            <w:r>
              <w:rPr>
                <w:sz w:val="18"/>
              </w:rPr>
              <w:t>3</w:t>
            </w:r>
          </w:p>
        </w:tc>
        <w:tc>
          <w:tcPr>
            <w:tcW w:type="dxa" w:w="3685"/>
          </w:tcPr>
          <w:p>
            <w:pPr>
              <w:spacing w:after="20"/>
            </w:pPr>
            <w:r/>
            <w:r>
              <w:rPr>
                <w:sz w:val="18"/>
              </w:rPr>
              <w:t>G-A1, G-A2, G-A3, G-A4, G-A5</w:t>
            </w:r>
          </w:p>
        </w:tc>
      </w:tr>
      <w:tr>
        <w:tc>
          <w:tcPr>
            <w:tcW w:type="dxa" w:w="1587"/>
          </w:tcPr>
          <w:p>
            <w:pPr>
              <w:spacing w:after="20"/>
            </w:pPr>
            <w:r/>
            <w:r>
              <w:rPr>
                <w:b/>
                <w:sz w:val="18"/>
              </w:rPr>
              <w:t>Tecnología</w:t>
            </w:r>
          </w:p>
        </w:tc>
        <w:tc>
          <w:tcPr>
            <w:tcW w:type="dxa" w:w="907"/>
          </w:tcPr>
          <w:p>
            <w:pPr>
              <w:spacing w:after="20"/>
            </w:pPr>
            <w:r/>
            <w:r>
              <w:rPr>
                <w:sz w:val="18"/>
              </w:rPr>
              <w:t>4</w:t>
            </w:r>
          </w:p>
        </w:tc>
        <w:tc>
          <w:tcPr>
            <w:tcW w:type="dxa" w:w="850"/>
          </w:tcPr>
          <w:p>
            <w:pPr>
              <w:spacing w:after="20"/>
            </w:pPr>
            <w:r/>
            <w:r>
              <w:rPr>
                <w:sz w:val="18"/>
              </w:rPr>
              <w:t>2</w:t>
            </w:r>
          </w:p>
        </w:tc>
        <w:tc>
          <w:tcPr>
            <w:tcW w:type="dxa" w:w="1191"/>
          </w:tcPr>
          <w:p>
            <w:pPr>
              <w:spacing w:after="20"/>
            </w:pPr>
            <w:r/>
            <w:r>
              <w:rPr>
                <w:sz w:val="18"/>
              </w:rPr>
              <w:t>2</w:t>
            </w:r>
          </w:p>
        </w:tc>
        <w:tc>
          <w:tcPr>
            <w:tcW w:type="dxa" w:w="964"/>
          </w:tcPr>
          <w:p>
            <w:pPr>
              <w:spacing w:after="20"/>
            </w:pPr>
            <w:r/>
            <w:r>
              <w:rPr>
                <w:sz w:val="18"/>
              </w:rPr>
              <w:t>0</w:t>
            </w:r>
          </w:p>
        </w:tc>
        <w:tc>
          <w:tcPr>
            <w:tcW w:type="dxa" w:w="3685"/>
          </w:tcPr>
          <w:p>
            <w:pPr>
              <w:spacing w:after="20"/>
            </w:pPr>
            <w:r/>
            <w:r>
              <w:rPr>
                <w:sz w:val="18"/>
              </w:rPr>
              <w:t>G-T1, G-T2, G-T3, G-T4</w:t>
            </w:r>
          </w:p>
        </w:tc>
      </w:tr>
    </w:tbl>
    <w:p>
      <w:pPr>
        <w:spacing w:after="40"/>
      </w:pPr>
    </w:p>
    <w:p>
      <w:r>
        <w:rPr>
          <w:i/>
          <w:sz w:val="19"/>
        </w:rPr>
        <w:t>Tabla 6.</w:t>
      </w:r>
      <w:r>
        <w:rPr>
          <w:sz w:val="19"/>
        </w:rPr>
        <w:t xml:space="preserve"> Brechas por dominio y tipo. Tipo según TOGAF: nuevo, transformar o eliminar.</w:t>
      </w:r>
    </w:p>
    <w:p>
      <w:r>
        <w:rPr>
          <w:b/>
        </w:rPr>
        <w:t>Lo que la matriz muestra.</w:t>
      </w:r>
      <w:r>
        <w:t xml:space="preserve"> Datos es el único dominio sin nada que eliminar: todo es construir, porque la identidad única, los catálogos homologados y la calidad en el origen no existen hoy. Aplicaciones es el dominio que más elimina: tres integraciones que leen la base de otro sistema o duplican una capacidad. Y la brecha de negocio más urgente no es técnica: G-N2, dos personas que conocen HIS-CORE, tiene fecha en el mes 11.</w:t>
      </w:r>
    </w:p>
    <w:p>
      <w:pPr>
        <w:pStyle w:val="Heading1"/>
      </w:pPr>
      <w:r>
        <w:t>5. Roadmap de transformación T+0 · T+1 · T+2</w:t>
      </w:r>
    </w:p>
    <w:tbl>
      <w:tblPr>
        <w:tblW w:type="auto" w:w="0"/>
        <w:tblLook w:firstColumn="1" w:firstRow="1" w:lastColumn="0" w:lastRow="0" w:noHBand="0" w:noVBand="1" w:val="04A0"/>
      </w:tblPr>
      <w:tblGrid>
        <w:gridCol w:w="9406"/>
      </w:tblGrid>
      <w:tr>
        <w:trPr>
          <w:cantSplit w:val="true"/>
        </w:trPr>
        <w:tc>
          <w:tcPr>
            <w:tcW w:type="dxa" w:w="9406"/>
            <w:shd w:val="clear" w:color="auto" w:fill="EEF3FA"/>
            <w:tcBorders>
              <w:top w:val="nil"/>
              <w:bottom w:val="nil"/>
              <w:right w:val="nil"/>
              <w:left w:val="single" w:sz="24" w:color="C2622C"/>
            </w:tcBorders>
          </w:tcPr>
          <w:p>
            <w:r>
              <w:rPr>
                <w:b/>
                <w:sz w:val="20"/>
              </w:rPr>
              <w:t>Qué hacer en esta sección.</w:t>
            </w:r>
            <w:r>
              <w:rPr>
                <w:sz w:val="20"/>
              </w:rPr>
              <w:t xml:space="preserve"> Conviertan las brechas en iniciativas y ordénenlas en tres horizontes: T+0 (0 a 6 meses, estabilización), T+1 (6 a 18 meses, capacidades habilitadoras) y T+2 (18 a 36 meses, capacidades diferenciadoras). </w:t>
            </w:r>
            <w:r>
              <w:rPr>
                <w:b/>
                <w:sz w:val="20"/>
              </w:rPr>
              <w:t>Cada iniciativa lleva valor de negocio, riesgo técnico y costo relativo</w:t>
            </w:r>
            <w:r>
              <w:rPr>
                <w:sz w:val="20"/>
              </w:rPr>
              <w:t>: sin los tres no hay nota máxima. Muestren las dependencias, qué no cabe en el presupuesto y por qué, y las decisiones que el roadmap deja abiertas a propósito.</w:t>
            </w:r>
          </w:p>
          <w:p>
            <w:r>
              <w:rPr>
                <w:b/>
                <w:sz w:val="19"/>
              </w:rPr>
              <w:t>Se califica en:</w:t>
            </w:r>
            <w:r>
              <w:rPr>
                <w:sz w:val="19"/>
              </w:rPr>
              <w:t xml:space="preserve"> Gap analysis y roadmap (2,0) · </w:t>
            </w:r>
            <w:r>
              <w:rPr>
                <w:b/>
                <w:sz w:val="19"/>
              </w:rPr>
              <w:t>Se prepara con:</w:t>
            </w:r>
            <w:r>
              <w:rPr>
                <w:sz w:val="19"/>
              </w:rPr>
              <w:t xml:space="preserve"> F-33 · </w:t>
            </w:r>
            <w:r>
              <w:rPr>
                <w:b/>
                <w:sz w:val="19"/>
              </w:rPr>
              <w:t>Cuándo:</w:t>
            </w:r>
            <w:r>
              <w:rPr>
                <w:sz w:val="19"/>
              </w:rPr>
              <w:t xml:space="preserve"> en el taller de la sesión (primer borrador) y fuera de clase.</w:t>
            </w:r>
          </w:p>
          <w:p>
            <w:r>
              <w:rPr>
                <w:i/>
                <w:sz w:val="19"/>
              </w:rPr>
              <w:t>Este recuadro es una ayuda para leer el ejemplo: no va en su informe.</w:t>
            </w:r>
          </w:p>
        </w:tc>
      </w:tr>
    </w:tbl>
    <w:p>
      <w:pPr>
        <w:spacing w:after="40"/>
      </w:pPr>
    </w:p>
    <w:p>
      <w:pPr>
        <w:pStyle w:val="Heading2"/>
      </w:pPr>
      <w:r>
        <w:t>5.1 Cómo se priorizó</w:t>
      </w:r>
    </w:p>
    <w:p>
      <w:r>
        <w:t>Tres reglas, en este orden: (1) primero lo que puede detener la operación o la facturación, y lo que tiene fecha que no depende de la organización —el RDA, cuyo plazo ya venció; la excepción de PORTAL-B2B que vence en el mes 4, y la pensión del mes 11—; (2) después lo que otras iniciativas necesitan, según las dependencias; (3) al final lo que diferencia. Dentro de cada horizonte, el valor de negocio decide sobre el riesgo técnico. Ninguna iniciativa se justifica por el sistema que reemplaza, sino por la capacidad que habilita.</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907"/>
            <w:shd w:val="clear" w:color="auto" w:fill="DCE6F2"/>
          </w:tcPr>
          <w:p>
            <w:pPr>
              <w:spacing w:after="20"/>
            </w:pPr>
            <w:r/>
            <w:r>
              <w:rPr>
                <w:b/>
                <w:sz w:val="18"/>
              </w:rPr>
              <w:t>Horizonte</w:t>
            </w:r>
          </w:p>
        </w:tc>
        <w:tc>
          <w:tcPr>
            <w:tcW w:type="dxa" w:w="2041"/>
            <w:shd w:val="clear" w:color="auto" w:fill="DCE6F2"/>
          </w:tcPr>
          <w:p>
            <w:pPr>
              <w:spacing w:after="20"/>
            </w:pPr>
            <w:r/>
            <w:r>
              <w:rPr>
                <w:b/>
                <w:sz w:val="18"/>
              </w:rPr>
              <w:t>Nombre</w:t>
            </w:r>
          </w:p>
        </w:tc>
        <w:tc>
          <w:tcPr>
            <w:tcW w:type="dxa" w:w="1247"/>
            <w:shd w:val="clear" w:color="auto" w:fill="DCE6F2"/>
          </w:tcPr>
          <w:p>
            <w:pPr>
              <w:spacing w:after="20"/>
            </w:pPr>
            <w:r/>
            <w:r>
              <w:rPr>
                <w:b/>
                <w:sz w:val="18"/>
              </w:rPr>
              <w:t>Meses</w:t>
            </w:r>
          </w:p>
        </w:tc>
        <w:tc>
          <w:tcPr>
            <w:tcW w:type="dxa" w:w="4989"/>
            <w:shd w:val="clear" w:color="auto" w:fill="DCE6F2"/>
          </w:tcPr>
          <w:p>
            <w:pPr>
              <w:spacing w:after="20"/>
            </w:pPr>
            <w:r/>
            <w:r>
              <w:rPr>
                <w:b/>
                <w:sz w:val="18"/>
              </w:rPr>
              <w:t>Propósito</w:t>
            </w:r>
          </w:p>
        </w:tc>
      </w:tr>
      <w:tr>
        <w:tc>
          <w:tcPr>
            <w:tcW w:type="dxa" w:w="907"/>
          </w:tcPr>
          <w:p>
            <w:pPr>
              <w:spacing w:after="20"/>
            </w:pPr>
            <w:r/>
            <w:r>
              <w:rPr>
                <w:b/>
                <w:sz w:val="18"/>
              </w:rPr>
              <w:t>T+0</w:t>
            </w:r>
          </w:p>
        </w:tc>
        <w:tc>
          <w:tcPr>
            <w:tcW w:type="dxa" w:w="2041"/>
          </w:tcPr>
          <w:p>
            <w:pPr>
              <w:spacing w:after="20"/>
            </w:pPr>
            <w:r/>
            <w:r>
              <w:rPr>
                <w:sz w:val="18"/>
              </w:rPr>
              <w:t>Estabilización</w:t>
            </w:r>
          </w:p>
        </w:tc>
        <w:tc>
          <w:tcPr>
            <w:tcW w:type="dxa" w:w="1247"/>
          </w:tcPr>
          <w:p>
            <w:pPr>
              <w:spacing w:after="20"/>
            </w:pPr>
            <w:r/>
            <w:r>
              <w:rPr>
                <w:sz w:val="18"/>
              </w:rPr>
              <w:t>Meses 1 a 6</w:t>
            </w:r>
          </w:p>
        </w:tc>
        <w:tc>
          <w:tcPr>
            <w:tcW w:type="dxa" w:w="4989"/>
          </w:tcPr>
          <w:p>
            <w:pPr>
              <w:spacing w:after="20"/>
            </w:pPr>
            <w:r/>
            <w:r>
              <w:rPr>
                <w:sz w:val="18"/>
              </w:rPr>
              <w:t>Quitar los riesgos que pueden detener la operación o la facturación y poner en marcha lo que todo lo demás necesita</w:t>
            </w:r>
          </w:p>
        </w:tc>
      </w:tr>
      <w:tr>
        <w:tc>
          <w:tcPr>
            <w:tcW w:type="dxa" w:w="907"/>
          </w:tcPr>
          <w:p>
            <w:pPr>
              <w:spacing w:after="20"/>
            </w:pPr>
            <w:r/>
            <w:r>
              <w:rPr>
                <w:b/>
                <w:sz w:val="18"/>
              </w:rPr>
              <w:t>T+1</w:t>
            </w:r>
          </w:p>
        </w:tc>
        <w:tc>
          <w:tcPr>
            <w:tcW w:type="dxa" w:w="2041"/>
          </w:tcPr>
          <w:p>
            <w:pPr>
              <w:spacing w:after="20"/>
            </w:pPr>
            <w:r/>
            <w:r>
              <w:rPr>
                <w:sz w:val="18"/>
              </w:rPr>
              <w:t>Capacidades habilitadoras</w:t>
            </w:r>
          </w:p>
        </w:tc>
        <w:tc>
          <w:tcPr>
            <w:tcW w:type="dxa" w:w="1247"/>
          </w:tcPr>
          <w:p>
            <w:pPr>
              <w:spacing w:after="20"/>
            </w:pPr>
            <w:r/>
            <w:r>
              <w:rPr>
                <w:sz w:val="18"/>
              </w:rPr>
              <w:t>Meses 7 a 18</w:t>
            </w:r>
          </w:p>
        </w:tc>
        <w:tc>
          <w:tcPr>
            <w:tcW w:type="dxa" w:w="4989"/>
          </w:tcPr>
          <w:p>
            <w:pPr>
              <w:spacing w:after="20"/>
            </w:pPr>
            <w:r/>
            <w:r>
              <w:rPr>
                <w:sz w:val="18"/>
              </w:rPr>
              <w:t>Construir lo que las apuestas de Andina 2029 necesitan compartir: identidad, interoperabilidad, calidad del dato</w:t>
            </w:r>
          </w:p>
        </w:tc>
      </w:tr>
      <w:tr>
        <w:tc>
          <w:tcPr>
            <w:tcW w:type="dxa" w:w="907"/>
          </w:tcPr>
          <w:p>
            <w:pPr>
              <w:spacing w:after="20"/>
            </w:pPr>
            <w:r/>
            <w:r>
              <w:rPr>
                <w:b/>
                <w:sz w:val="18"/>
              </w:rPr>
              <w:t>T+2</w:t>
            </w:r>
          </w:p>
        </w:tc>
        <w:tc>
          <w:tcPr>
            <w:tcW w:type="dxa" w:w="2041"/>
          </w:tcPr>
          <w:p>
            <w:pPr>
              <w:spacing w:after="20"/>
            </w:pPr>
            <w:r/>
            <w:r>
              <w:rPr>
                <w:sz w:val="18"/>
              </w:rPr>
              <w:t>Capacidades diferenciadoras</w:t>
            </w:r>
          </w:p>
        </w:tc>
        <w:tc>
          <w:tcPr>
            <w:tcW w:type="dxa" w:w="1247"/>
          </w:tcPr>
          <w:p>
            <w:pPr>
              <w:spacing w:after="20"/>
            </w:pPr>
            <w:r/>
            <w:r>
              <w:rPr>
                <w:sz w:val="18"/>
              </w:rPr>
              <w:t>Meses 19 a 36</w:t>
            </w:r>
          </w:p>
        </w:tc>
        <w:tc>
          <w:tcPr>
            <w:tcW w:type="dxa" w:w="4989"/>
          </w:tcPr>
          <w:p>
            <w:pPr>
              <w:spacing w:after="20"/>
            </w:pPr>
            <w:r/>
            <w:r>
              <w:rPr>
                <w:sz w:val="18"/>
              </w:rPr>
              <w:t>Usar lo construido para competir: visión 360, B2B repetible, continuidad total. Arranca con la decisión A/B</w:t>
            </w:r>
          </w:p>
        </w:tc>
      </w:tr>
    </w:tbl>
    <w:p>
      <w:pPr>
        <w:spacing w:after="40"/>
      </w:pPr>
    </w:p>
    <w:p>
      <w:r>
        <w:rPr>
          <w:i/>
          <w:sz w:val="19"/>
        </w:rPr>
        <w:t>Tabla 7.</w:t>
      </w:r>
      <w:r>
        <w:rPr>
          <w:sz w:val="19"/>
        </w:rPr>
        <w:t xml:space="preserve"> Horizontes del roadmap.</w:t>
      </w:r>
    </w:p>
    <w:p>
      <w:pPr>
        <w:pStyle w:val="Heading2"/>
      </w:pPr>
      <w:r>
        <w:t>5.2 Portafolio priorizado</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176"/>
        <w:gridCol w:w="1176"/>
        <w:gridCol w:w="1176"/>
        <w:gridCol w:w="1176"/>
        <w:gridCol w:w="1176"/>
        <w:gridCol w:w="1176"/>
        <w:gridCol w:w="1176"/>
        <w:gridCol w:w="1176"/>
      </w:tblGrid>
      <w:tr>
        <w:trPr>
          <w:tblHeader w:val="true"/>
        </w:trPr>
        <w:tc>
          <w:tcPr>
            <w:tcW w:type="dxa" w:w="624"/>
            <w:shd w:val="clear" w:color="auto" w:fill="DCE6F2"/>
          </w:tcPr>
          <w:p>
            <w:pPr>
              <w:spacing w:after="20"/>
            </w:pPr>
            <w:r/>
            <w:r>
              <w:rPr>
                <w:b/>
                <w:sz w:val="17"/>
              </w:rPr>
              <w:t>T+0</w:t>
            </w:r>
          </w:p>
        </w:tc>
        <w:tc>
          <w:tcPr>
            <w:tcW w:type="dxa" w:w="3912"/>
            <w:shd w:val="clear" w:color="auto" w:fill="DCE6F2"/>
          </w:tcPr>
          <w:p>
            <w:pPr>
              <w:spacing w:after="20"/>
            </w:pPr>
            <w:r/>
            <w:r>
              <w:rPr>
                <w:b/>
                <w:sz w:val="17"/>
              </w:rPr>
              <w:t>Iniciativa</w:t>
            </w:r>
          </w:p>
        </w:tc>
        <w:tc>
          <w:tcPr>
            <w:tcW w:type="dxa" w:w="794"/>
            <w:shd w:val="clear" w:color="auto" w:fill="DCE6F2"/>
          </w:tcPr>
          <w:p>
            <w:pPr>
              <w:spacing w:after="20"/>
            </w:pPr>
            <w:r/>
            <w:r>
              <w:rPr>
                <w:b/>
                <w:sz w:val="17"/>
              </w:rPr>
              <w:t>Meses</w:t>
            </w:r>
          </w:p>
        </w:tc>
        <w:tc>
          <w:tcPr>
            <w:tcW w:type="dxa" w:w="737"/>
            <w:shd w:val="clear" w:color="auto" w:fill="DCE6F2"/>
          </w:tcPr>
          <w:p>
            <w:pPr>
              <w:spacing w:after="20"/>
            </w:pPr>
            <w:r/>
            <w:r>
              <w:rPr>
                <w:b/>
                <w:sz w:val="17"/>
              </w:rPr>
              <w:t>Valor</w:t>
            </w:r>
          </w:p>
        </w:tc>
        <w:tc>
          <w:tcPr>
            <w:tcW w:type="dxa" w:w="737"/>
            <w:shd w:val="clear" w:color="auto" w:fill="DCE6F2"/>
          </w:tcPr>
          <w:p>
            <w:pPr>
              <w:spacing w:after="20"/>
            </w:pPr>
            <w:r/>
            <w:r>
              <w:rPr>
                <w:b/>
                <w:sz w:val="17"/>
              </w:rPr>
              <w:t>Riesgo</w:t>
            </w:r>
          </w:p>
        </w:tc>
        <w:tc>
          <w:tcPr>
            <w:tcW w:type="dxa" w:w="567"/>
            <w:shd w:val="clear" w:color="auto" w:fill="DCE6F2"/>
          </w:tcPr>
          <w:p>
            <w:pPr>
              <w:spacing w:after="20"/>
            </w:pPr>
            <w:r/>
            <w:r>
              <w:rPr>
                <w:b/>
                <w:sz w:val="17"/>
              </w:rPr>
              <w:t>UC</w:t>
            </w:r>
          </w:p>
        </w:tc>
        <w:tc>
          <w:tcPr>
            <w:tcW w:type="dxa" w:w="794"/>
            <w:shd w:val="clear" w:color="auto" w:fill="DCE6F2"/>
          </w:tcPr>
          <w:p>
            <w:pPr>
              <w:spacing w:after="20"/>
            </w:pPr>
            <w:r/>
            <w:r>
              <w:rPr>
                <w:b/>
                <w:sz w:val="17"/>
              </w:rPr>
              <w:t>UC año 1</w:t>
            </w:r>
          </w:p>
        </w:tc>
        <w:tc>
          <w:tcPr>
            <w:tcW w:type="dxa" w:w="1020"/>
            <w:shd w:val="clear" w:color="auto" w:fill="DCE6F2"/>
          </w:tcPr>
          <w:p>
            <w:pPr>
              <w:spacing w:after="20"/>
            </w:pPr>
            <w:r/>
            <w:r>
              <w:rPr>
                <w:b/>
                <w:sz w:val="17"/>
              </w:rPr>
              <w:t>Depende de</w:t>
            </w:r>
          </w:p>
        </w:tc>
      </w:tr>
      <w:tr>
        <w:tc>
          <w:tcPr>
            <w:tcW w:type="dxa" w:w="624"/>
          </w:tcPr>
          <w:p>
            <w:pPr>
              <w:spacing w:after="20"/>
            </w:pPr>
            <w:r/>
            <w:r>
              <w:rPr>
                <w:sz w:val="17"/>
              </w:rPr>
              <w:t>N1</w:t>
            </w:r>
          </w:p>
        </w:tc>
        <w:tc>
          <w:tcPr>
            <w:tcW w:type="dxa" w:w="3912"/>
          </w:tcPr>
          <w:p>
            <w:pPr>
              <w:spacing w:after="20"/>
            </w:pPr>
            <w:r/>
            <w:r>
              <w:rPr>
                <w:sz w:val="17"/>
              </w:rPr>
              <w:t>Poner en marcha el ARB y el tablero del roadmap</w:t>
            </w:r>
          </w:p>
        </w:tc>
        <w:tc>
          <w:tcPr>
            <w:tcW w:type="dxa" w:w="794"/>
          </w:tcPr>
          <w:p>
            <w:pPr>
              <w:spacing w:after="20"/>
            </w:pPr>
            <w:r/>
            <w:r>
              <w:rPr>
                <w:sz w:val="17"/>
              </w:rPr>
              <w:t>1–3</w:t>
            </w:r>
          </w:p>
        </w:tc>
        <w:tc>
          <w:tcPr>
            <w:tcW w:type="dxa" w:w="737"/>
          </w:tcPr>
          <w:p>
            <w:pPr>
              <w:spacing w:after="20"/>
            </w:pPr>
            <w:r/>
            <w:r>
              <w:rPr>
                <w:sz w:val="17"/>
              </w:rPr>
              <w:t>Alto</w:t>
            </w:r>
          </w:p>
        </w:tc>
        <w:tc>
          <w:tcPr>
            <w:tcW w:type="dxa" w:w="737"/>
          </w:tcPr>
          <w:p>
            <w:pPr>
              <w:spacing w:after="20"/>
            </w:pPr>
            <w:r/>
            <w:r>
              <w:rPr>
                <w:sz w:val="17"/>
              </w:rPr>
              <w:t>Bajo</w:t>
            </w:r>
          </w:p>
        </w:tc>
        <w:tc>
          <w:tcPr>
            <w:tcW w:type="dxa" w:w="567"/>
          </w:tcPr>
          <w:p>
            <w:pPr>
              <w:spacing w:after="20"/>
            </w:pPr>
            <w:r/>
            <w:r>
              <w:rPr>
                <w:sz w:val="17"/>
              </w:rPr>
              <w:t>2</w:t>
            </w:r>
          </w:p>
        </w:tc>
        <w:tc>
          <w:tcPr>
            <w:tcW w:type="dxa" w:w="794"/>
          </w:tcPr>
          <w:p>
            <w:pPr>
              <w:spacing w:after="20"/>
            </w:pPr>
            <w:r/>
            <w:r>
              <w:rPr>
                <w:sz w:val="17"/>
              </w:rPr>
              <w:t>2</w:t>
            </w:r>
          </w:p>
        </w:tc>
        <w:tc>
          <w:tcPr>
            <w:tcW w:type="dxa" w:w="1020"/>
          </w:tcPr>
          <w:p>
            <w:pPr>
              <w:spacing w:after="20"/>
            </w:pPr>
            <w:r/>
            <w:r>
              <w:rPr>
                <w:sz w:val="17"/>
              </w:rPr>
              <w:t>—</w:t>
            </w:r>
          </w:p>
        </w:tc>
      </w:tr>
      <w:tr>
        <w:tc>
          <w:tcPr>
            <w:tcW w:type="dxa" w:w="624"/>
          </w:tcPr>
          <w:p>
            <w:pPr>
              <w:spacing w:after="20"/>
            </w:pPr>
            <w:r/>
            <w:r>
              <w:rPr>
                <w:sz w:val="17"/>
              </w:rPr>
              <w:t>K1</w:t>
            </w:r>
          </w:p>
        </w:tc>
        <w:tc>
          <w:tcPr>
            <w:tcW w:type="dxa" w:w="3912"/>
          </w:tcPr>
          <w:p>
            <w:pPr>
              <w:spacing w:after="20"/>
            </w:pPr>
            <w:r/>
            <w:r>
              <w:rPr>
                <w:sz w:val="17"/>
              </w:rPr>
              <w:t>Transferir el conocimiento de HIS-CORE (pareo y contratos de datos documentados)</w:t>
            </w:r>
          </w:p>
        </w:tc>
        <w:tc>
          <w:tcPr>
            <w:tcW w:type="dxa" w:w="794"/>
          </w:tcPr>
          <w:p>
            <w:pPr>
              <w:spacing w:after="20"/>
            </w:pPr>
            <w:r/>
            <w:r>
              <w:rPr>
                <w:sz w:val="17"/>
              </w:rPr>
              <w:t>1–10</w:t>
            </w:r>
          </w:p>
        </w:tc>
        <w:tc>
          <w:tcPr>
            <w:tcW w:type="dxa" w:w="737"/>
          </w:tcPr>
          <w:p>
            <w:pPr>
              <w:spacing w:after="20"/>
            </w:pPr>
            <w:r/>
            <w:r>
              <w:rPr>
                <w:sz w:val="17"/>
              </w:rPr>
              <w:t>Alto</w:t>
            </w:r>
          </w:p>
        </w:tc>
        <w:tc>
          <w:tcPr>
            <w:tcW w:type="dxa" w:w="737"/>
          </w:tcPr>
          <w:p>
            <w:pPr>
              <w:spacing w:after="20"/>
            </w:pPr>
            <w:r/>
            <w:r>
              <w:rPr>
                <w:sz w:val="17"/>
              </w:rPr>
              <w:t>Bajo</w:t>
            </w:r>
          </w:p>
        </w:tc>
        <w:tc>
          <w:tcPr>
            <w:tcW w:type="dxa" w:w="567"/>
          </w:tcPr>
          <w:p>
            <w:pPr>
              <w:spacing w:after="20"/>
            </w:pPr>
            <w:r/>
            <w:r>
              <w:rPr>
                <w:sz w:val="17"/>
              </w:rPr>
              <w:t>3</w:t>
            </w:r>
          </w:p>
        </w:tc>
        <w:tc>
          <w:tcPr>
            <w:tcW w:type="dxa" w:w="794"/>
          </w:tcPr>
          <w:p>
            <w:pPr>
              <w:spacing w:after="20"/>
            </w:pPr>
            <w:r/>
            <w:r>
              <w:rPr>
                <w:sz w:val="17"/>
              </w:rPr>
              <w:t>3</w:t>
            </w:r>
          </w:p>
        </w:tc>
        <w:tc>
          <w:tcPr>
            <w:tcW w:type="dxa" w:w="1020"/>
          </w:tcPr>
          <w:p>
            <w:pPr>
              <w:spacing w:after="20"/>
            </w:pPr>
            <w:r/>
            <w:r>
              <w:rPr>
                <w:sz w:val="17"/>
              </w:rPr>
              <w:t>—</w:t>
            </w:r>
          </w:p>
        </w:tc>
      </w:tr>
      <w:tr>
        <w:tc>
          <w:tcPr>
            <w:tcW w:type="dxa" w:w="624"/>
          </w:tcPr>
          <w:p>
            <w:pPr>
              <w:spacing w:after="20"/>
            </w:pPr>
            <w:r/>
            <w:r>
              <w:rPr>
                <w:sz w:val="17"/>
              </w:rPr>
              <w:t>N2</w:t>
            </w:r>
          </w:p>
        </w:tc>
        <w:tc>
          <w:tcPr>
            <w:tcW w:type="dxa" w:w="3912"/>
          </w:tcPr>
          <w:p>
            <w:pPr>
              <w:spacing w:after="20"/>
            </w:pPr>
            <w:r/>
            <w:r>
              <w:rPr>
                <w:sz w:val="17"/>
              </w:rPr>
              <w:t>Apagar la agenda propia de TELEMED; consumir AGENDA-WEB</w:t>
            </w:r>
          </w:p>
        </w:tc>
        <w:tc>
          <w:tcPr>
            <w:tcW w:type="dxa" w:w="794"/>
          </w:tcPr>
          <w:p>
            <w:pPr>
              <w:spacing w:after="20"/>
            </w:pPr>
            <w:r/>
            <w:r>
              <w:rPr>
                <w:sz w:val="17"/>
              </w:rPr>
              <w:t>2–4</w:t>
            </w:r>
          </w:p>
        </w:tc>
        <w:tc>
          <w:tcPr>
            <w:tcW w:type="dxa" w:w="737"/>
          </w:tcPr>
          <w:p>
            <w:pPr>
              <w:spacing w:after="20"/>
            </w:pPr>
            <w:r/>
            <w:r>
              <w:rPr>
                <w:sz w:val="17"/>
              </w:rPr>
              <w:t>Medio</w:t>
            </w:r>
          </w:p>
        </w:tc>
        <w:tc>
          <w:tcPr>
            <w:tcW w:type="dxa" w:w="737"/>
          </w:tcPr>
          <w:p>
            <w:pPr>
              <w:spacing w:after="20"/>
            </w:pPr>
            <w:r/>
            <w:r>
              <w:rPr>
                <w:sz w:val="17"/>
              </w:rPr>
              <w:t>Bajo</w:t>
            </w:r>
          </w:p>
        </w:tc>
        <w:tc>
          <w:tcPr>
            <w:tcW w:type="dxa" w:w="567"/>
          </w:tcPr>
          <w:p>
            <w:pPr>
              <w:spacing w:after="20"/>
            </w:pPr>
            <w:r/>
            <w:r>
              <w:rPr>
                <w:sz w:val="17"/>
              </w:rPr>
              <w:t>1</w:t>
            </w:r>
          </w:p>
        </w:tc>
        <w:tc>
          <w:tcPr>
            <w:tcW w:type="dxa" w:w="794"/>
          </w:tcPr>
          <w:p>
            <w:pPr>
              <w:spacing w:after="20"/>
            </w:pPr>
            <w:r/>
            <w:r>
              <w:rPr>
                <w:sz w:val="17"/>
              </w:rPr>
              <w:t>1</w:t>
            </w:r>
          </w:p>
        </w:tc>
        <w:tc>
          <w:tcPr>
            <w:tcW w:type="dxa" w:w="1020"/>
          </w:tcPr>
          <w:p>
            <w:pPr>
              <w:spacing w:after="20"/>
            </w:pPr>
            <w:r/>
            <w:r>
              <w:rPr>
                <w:sz w:val="17"/>
              </w:rPr>
              <w:t>—</w:t>
            </w:r>
          </w:p>
        </w:tc>
      </w:tr>
      <w:tr>
        <w:tc>
          <w:tcPr>
            <w:tcW w:type="dxa" w:w="624"/>
          </w:tcPr>
          <w:p>
            <w:pPr>
              <w:spacing w:after="20"/>
            </w:pPr>
            <w:r/>
            <w:r>
              <w:rPr>
                <w:sz w:val="17"/>
              </w:rPr>
              <w:t>A2</w:t>
            </w:r>
          </w:p>
        </w:tc>
        <w:tc>
          <w:tcPr>
            <w:tcW w:type="dxa" w:w="3912"/>
          </w:tcPr>
          <w:p>
            <w:pPr>
              <w:spacing w:after="20"/>
            </w:pPr>
            <w:r/>
            <w:r>
              <w:rPr>
                <w:sz w:val="17"/>
              </w:rPr>
              <w:t>Contrato de interfaz HIS-CORE → FACT-SALUD, con pruebas de contrato</w:t>
            </w:r>
          </w:p>
        </w:tc>
        <w:tc>
          <w:tcPr>
            <w:tcW w:type="dxa" w:w="794"/>
          </w:tcPr>
          <w:p>
            <w:pPr>
              <w:spacing w:after="20"/>
            </w:pPr>
            <w:r/>
            <w:r>
              <w:rPr>
                <w:sz w:val="17"/>
              </w:rPr>
              <w:t>1–6</w:t>
            </w:r>
          </w:p>
        </w:tc>
        <w:tc>
          <w:tcPr>
            <w:tcW w:type="dxa" w:w="737"/>
          </w:tcPr>
          <w:p>
            <w:pPr>
              <w:spacing w:after="20"/>
            </w:pPr>
            <w:r/>
            <w:r>
              <w:rPr>
                <w:sz w:val="17"/>
              </w:rPr>
              <w:t>Alto</w:t>
            </w:r>
          </w:p>
        </w:tc>
        <w:tc>
          <w:tcPr>
            <w:tcW w:type="dxa" w:w="737"/>
          </w:tcPr>
          <w:p>
            <w:pPr>
              <w:spacing w:after="20"/>
            </w:pPr>
            <w:r/>
            <w:r>
              <w:rPr>
                <w:sz w:val="17"/>
              </w:rPr>
              <w:t>Medio</w:t>
            </w:r>
          </w:p>
        </w:tc>
        <w:tc>
          <w:tcPr>
            <w:tcW w:type="dxa" w:w="567"/>
          </w:tcPr>
          <w:p>
            <w:pPr>
              <w:spacing w:after="20"/>
            </w:pPr>
            <w:r/>
            <w:r>
              <w:rPr>
                <w:sz w:val="17"/>
              </w:rPr>
              <w:t>5</w:t>
            </w:r>
          </w:p>
        </w:tc>
        <w:tc>
          <w:tcPr>
            <w:tcW w:type="dxa" w:w="794"/>
          </w:tcPr>
          <w:p>
            <w:pPr>
              <w:spacing w:after="20"/>
            </w:pPr>
            <w:r/>
            <w:r>
              <w:rPr>
                <w:sz w:val="17"/>
              </w:rPr>
              <w:t>5</w:t>
            </w:r>
          </w:p>
        </w:tc>
        <w:tc>
          <w:tcPr>
            <w:tcW w:type="dxa" w:w="1020"/>
          </w:tcPr>
          <w:p>
            <w:pPr>
              <w:spacing w:after="20"/>
            </w:pPr>
            <w:r/>
            <w:r>
              <w:rPr>
                <w:sz w:val="17"/>
              </w:rPr>
              <w:t>K1</w:t>
            </w:r>
          </w:p>
        </w:tc>
      </w:tr>
      <w:tr>
        <w:tc>
          <w:tcPr>
            <w:tcW w:type="dxa" w:w="624"/>
          </w:tcPr>
          <w:p>
            <w:pPr>
              <w:spacing w:after="20"/>
            </w:pPr>
            <w:r/>
            <w:r>
              <w:rPr>
                <w:sz w:val="17"/>
              </w:rPr>
              <w:t>A3</w:t>
            </w:r>
          </w:p>
        </w:tc>
        <w:tc>
          <w:tcPr>
            <w:tcW w:type="dxa" w:w="3912"/>
          </w:tcPr>
          <w:p>
            <w:pPr>
              <w:spacing w:after="20"/>
            </w:pPr>
            <w:r/>
            <w:r>
              <w:rPr>
                <w:sz w:val="17"/>
              </w:rPr>
              <w:t>API de resultados de LIS-LAB sobre el bus; retiro de la consulta directa de PORTAL-B2B</w:t>
            </w:r>
          </w:p>
        </w:tc>
        <w:tc>
          <w:tcPr>
            <w:tcW w:type="dxa" w:w="794"/>
          </w:tcPr>
          <w:p>
            <w:pPr>
              <w:spacing w:after="20"/>
            </w:pPr>
            <w:r/>
            <w:r>
              <w:rPr>
                <w:sz w:val="17"/>
              </w:rPr>
              <w:t>1–4</w:t>
            </w:r>
          </w:p>
        </w:tc>
        <w:tc>
          <w:tcPr>
            <w:tcW w:type="dxa" w:w="737"/>
          </w:tcPr>
          <w:p>
            <w:pPr>
              <w:spacing w:after="20"/>
            </w:pPr>
            <w:r/>
            <w:r>
              <w:rPr>
                <w:sz w:val="17"/>
              </w:rPr>
              <w:t>Alto</w:t>
            </w:r>
          </w:p>
        </w:tc>
        <w:tc>
          <w:tcPr>
            <w:tcW w:type="dxa" w:w="737"/>
          </w:tcPr>
          <w:p>
            <w:pPr>
              <w:spacing w:after="20"/>
            </w:pPr>
            <w:r/>
            <w:r>
              <w:rPr>
                <w:sz w:val="17"/>
              </w:rPr>
              <w:t>Medio</w:t>
            </w:r>
          </w:p>
        </w:tc>
        <w:tc>
          <w:tcPr>
            <w:tcW w:type="dxa" w:w="567"/>
          </w:tcPr>
          <w:p>
            <w:pPr>
              <w:spacing w:after="20"/>
            </w:pPr>
            <w:r/>
            <w:r>
              <w:rPr>
                <w:sz w:val="17"/>
              </w:rPr>
              <w:t>4</w:t>
            </w:r>
          </w:p>
        </w:tc>
        <w:tc>
          <w:tcPr>
            <w:tcW w:type="dxa" w:w="794"/>
          </w:tcPr>
          <w:p>
            <w:pPr>
              <w:spacing w:after="20"/>
            </w:pPr>
            <w:r/>
            <w:r>
              <w:rPr>
                <w:sz w:val="17"/>
              </w:rPr>
              <w:t>4</w:t>
            </w:r>
          </w:p>
        </w:tc>
        <w:tc>
          <w:tcPr>
            <w:tcW w:type="dxa" w:w="1020"/>
          </w:tcPr>
          <w:p>
            <w:pPr>
              <w:spacing w:after="20"/>
            </w:pPr>
            <w:r/>
            <w:r>
              <w:rPr>
                <w:sz w:val="17"/>
              </w:rPr>
              <w:t>—</w:t>
            </w:r>
          </w:p>
        </w:tc>
      </w:tr>
      <w:tr>
        <w:tc>
          <w:tcPr>
            <w:tcW w:type="dxa" w:w="624"/>
          </w:tcPr>
          <w:p>
            <w:pPr>
              <w:spacing w:after="20"/>
            </w:pPr>
            <w:r/>
            <w:r>
              <w:rPr>
                <w:sz w:val="17"/>
              </w:rPr>
              <w:t>T1</w:t>
            </w:r>
          </w:p>
        </w:tc>
        <w:tc>
          <w:tcPr>
            <w:tcW w:type="dxa" w:w="3912"/>
          </w:tcPr>
          <w:p>
            <w:pPr>
              <w:spacing w:after="20"/>
            </w:pPr>
            <w:r/>
            <w:r>
              <w:rPr>
                <w:sz w:val="17"/>
              </w:rPr>
              <w:t>Monitoreo de servicio de extremo a extremo de los cuatro flujos críticos</w:t>
            </w:r>
          </w:p>
        </w:tc>
        <w:tc>
          <w:tcPr>
            <w:tcW w:type="dxa" w:w="794"/>
          </w:tcPr>
          <w:p>
            <w:pPr>
              <w:spacing w:after="20"/>
            </w:pPr>
            <w:r/>
            <w:r>
              <w:rPr>
                <w:sz w:val="17"/>
              </w:rPr>
              <w:t>2–6</w:t>
            </w:r>
          </w:p>
        </w:tc>
        <w:tc>
          <w:tcPr>
            <w:tcW w:type="dxa" w:w="737"/>
          </w:tcPr>
          <w:p>
            <w:pPr>
              <w:spacing w:after="20"/>
            </w:pPr>
            <w:r/>
            <w:r>
              <w:rPr>
                <w:sz w:val="17"/>
              </w:rPr>
              <w:t>Medio</w:t>
            </w:r>
          </w:p>
        </w:tc>
        <w:tc>
          <w:tcPr>
            <w:tcW w:type="dxa" w:w="737"/>
          </w:tcPr>
          <w:p>
            <w:pPr>
              <w:spacing w:after="20"/>
            </w:pPr>
            <w:r/>
            <w:r>
              <w:rPr>
                <w:sz w:val="17"/>
              </w:rPr>
              <w:t>Bajo</w:t>
            </w:r>
          </w:p>
        </w:tc>
        <w:tc>
          <w:tcPr>
            <w:tcW w:type="dxa" w:w="567"/>
          </w:tcPr>
          <w:p>
            <w:pPr>
              <w:spacing w:after="20"/>
            </w:pPr>
            <w:r/>
            <w:r>
              <w:rPr>
                <w:sz w:val="17"/>
              </w:rPr>
              <w:t>3</w:t>
            </w:r>
          </w:p>
        </w:tc>
        <w:tc>
          <w:tcPr>
            <w:tcW w:type="dxa" w:w="794"/>
          </w:tcPr>
          <w:p>
            <w:pPr>
              <w:spacing w:after="20"/>
            </w:pPr>
            <w:r/>
            <w:r>
              <w:rPr>
                <w:sz w:val="17"/>
              </w:rPr>
              <w:t>3</w:t>
            </w:r>
          </w:p>
        </w:tc>
        <w:tc>
          <w:tcPr>
            <w:tcW w:type="dxa" w:w="1020"/>
          </w:tcPr>
          <w:p>
            <w:pPr>
              <w:spacing w:after="20"/>
            </w:pPr>
            <w:r/>
            <w:r>
              <w:rPr>
                <w:sz w:val="17"/>
              </w:rPr>
              <w:t>—</w:t>
            </w:r>
          </w:p>
        </w:tc>
      </w:tr>
      <w:tr>
        <w:tc>
          <w:tcPr>
            <w:tcW w:type="dxa" w:w="624"/>
          </w:tcPr>
          <w:p>
            <w:pPr>
              <w:spacing w:after="20"/>
            </w:pPr>
            <w:r/>
            <w:r>
              <w:rPr>
                <w:sz w:val="17"/>
              </w:rPr>
              <w:t>D1</w:t>
            </w:r>
          </w:p>
        </w:tc>
        <w:tc>
          <w:tcPr>
            <w:tcW w:type="dxa" w:w="3912"/>
          </w:tcPr>
          <w:p>
            <w:pPr>
              <w:spacing w:after="20"/>
            </w:pPr>
            <w:r/>
            <w:r>
              <w:rPr>
                <w:sz w:val="17"/>
              </w:rPr>
              <w:t>Índice maestro de pacientes, fase 1: depuración y producción con HIS-CORE</w:t>
            </w:r>
          </w:p>
        </w:tc>
        <w:tc>
          <w:tcPr>
            <w:tcW w:type="dxa" w:w="794"/>
          </w:tcPr>
          <w:p>
            <w:pPr>
              <w:spacing w:after="20"/>
            </w:pPr>
            <w:r/>
            <w:r>
              <w:rPr>
                <w:sz w:val="17"/>
              </w:rPr>
              <w:t>1–8</w:t>
            </w:r>
          </w:p>
        </w:tc>
        <w:tc>
          <w:tcPr>
            <w:tcW w:type="dxa" w:w="737"/>
          </w:tcPr>
          <w:p>
            <w:pPr>
              <w:spacing w:after="20"/>
            </w:pPr>
            <w:r/>
            <w:r>
              <w:rPr>
                <w:sz w:val="17"/>
              </w:rPr>
              <w:t>Alto</w:t>
            </w:r>
          </w:p>
        </w:tc>
        <w:tc>
          <w:tcPr>
            <w:tcW w:type="dxa" w:w="737"/>
          </w:tcPr>
          <w:p>
            <w:pPr>
              <w:spacing w:after="20"/>
            </w:pPr>
            <w:r/>
            <w:r>
              <w:rPr>
                <w:sz w:val="17"/>
              </w:rPr>
              <w:t>Medio</w:t>
            </w:r>
          </w:p>
        </w:tc>
        <w:tc>
          <w:tcPr>
            <w:tcW w:type="dxa" w:w="567"/>
          </w:tcPr>
          <w:p>
            <w:pPr>
              <w:spacing w:after="20"/>
            </w:pPr>
            <w:r/>
            <w:r>
              <w:rPr>
                <w:sz w:val="17"/>
              </w:rPr>
              <w:t>8</w:t>
            </w:r>
          </w:p>
        </w:tc>
        <w:tc>
          <w:tcPr>
            <w:tcW w:type="dxa" w:w="794"/>
          </w:tcPr>
          <w:p>
            <w:pPr>
              <w:spacing w:after="20"/>
            </w:pPr>
            <w:r/>
            <w:r>
              <w:rPr>
                <w:sz w:val="17"/>
              </w:rPr>
              <w:t>8</w:t>
            </w:r>
          </w:p>
        </w:tc>
        <w:tc>
          <w:tcPr>
            <w:tcW w:type="dxa" w:w="1020"/>
          </w:tcPr>
          <w:p>
            <w:pPr>
              <w:spacing w:after="20"/>
            </w:pPr>
            <w:r/>
            <w:r>
              <w:rPr>
                <w:sz w:val="17"/>
              </w:rPr>
              <w:t>N1</w:t>
            </w:r>
          </w:p>
        </w:tc>
      </w:tr>
      <w:tr>
        <w:tc>
          <w:tcPr>
            <w:tcW w:type="dxa" w:w="624"/>
          </w:tcPr>
          <w:p>
            <w:pPr>
              <w:spacing w:after="20"/>
            </w:pPr>
            <w:r/>
            <w:r>
              <w:rPr>
                <w:sz w:val="17"/>
              </w:rPr>
              <w:t>A5</w:t>
            </w:r>
          </w:p>
        </w:tc>
        <w:tc>
          <w:tcPr>
            <w:tcW w:type="dxa" w:w="3912"/>
          </w:tcPr>
          <w:p>
            <w:pPr>
              <w:spacing w:after="20"/>
            </w:pPr>
            <w:r/>
            <w:r>
              <w:rPr>
                <w:sz w:val="17"/>
              </w:rPr>
              <w:t>Resumen Digital de Atención desde HIS-CORE (plazo normativo vencido en abril de 2026)</w:t>
            </w:r>
          </w:p>
        </w:tc>
        <w:tc>
          <w:tcPr>
            <w:tcW w:type="dxa" w:w="794"/>
          </w:tcPr>
          <w:p>
            <w:pPr>
              <w:spacing w:after="20"/>
            </w:pPr>
            <w:r/>
            <w:r>
              <w:rPr>
                <w:sz w:val="17"/>
              </w:rPr>
              <w:t>1–6</w:t>
            </w:r>
          </w:p>
        </w:tc>
        <w:tc>
          <w:tcPr>
            <w:tcW w:type="dxa" w:w="737"/>
          </w:tcPr>
          <w:p>
            <w:pPr>
              <w:spacing w:after="20"/>
            </w:pPr>
            <w:r/>
            <w:r>
              <w:rPr>
                <w:sz w:val="17"/>
              </w:rPr>
              <w:t>Alto</w:t>
            </w:r>
          </w:p>
        </w:tc>
        <w:tc>
          <w:tcPr>
            <w:tcW w:type="dxa" w:w="737"/>
          </w:tcPr>
          <w:p>
            <w:pPr>
              <w:spacing w:after="20"/>
            </w:pPr>
            <w:r/>
            <w:r>
              <w:rPr>
                <w:sz w:val="17"/>
              </w:rPr>
              <w:t>Medio</w:t>
            </w:r>
          </w:p>
        </w:tc>
        <w:tc>
          <w:tcPr>
            <w:tcW w:type="dxa" w:w="567"/>
          </w:tcPr>
          <w:p>
            <w:pPr>
              <w:spacing w:after="20"/>
            </w:pPr>
            <w:r/>
            <w:r>
              <w:rPr>
                <w:sz w:val="17"/>
              </w:rPr>
              <w:t>3</w:t>
            </w:r>
          </w:p>
        </w:tc>
        <w:tc>
          <w:tcPr>
            <w:tcW w:type="dxa" w:w="794"/>
          </w:tcPr>
          <w:p>
            <w:pPr>
              <w:spacing w:after="20"/>
            </w:pPr>
            <w:r/>
            <w:r>
              <w:rPr>
                <w:sz w:val="17"/>
              </w:rPr>
              <w:t>3</w:t>
            </w:r>
          </w:p>
        </w:tc>
        <w:tc>
          <w:tcPr>
            <w:tcW w:type="dxa" w:w="1020"/>
          </w:tcPr>
          <w:p>
            <w:pPr>
              <w:spacing w:after="20"/>
            </w:pPr>
            <w:r/>
            <w:r>
              <w:rPr>
                <w:sz w:val="17"/>
              </w:rPr>
              <w:t>—</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176"/>
        <w:gridCol w:w="1176"/>
        <w:gridCol w:w="1176"/>
        <w:gridCol w:w="1176"/>
        <w:gridCol w:w="1176"/>
        <w:gridCol w:w="1176"/>
        <w:gridCol w:w="1176"/>
        <w:gridCol w:w="1176"/>
      </w:tblGrid>
      <w:tr>
        <w:trPr>
          <w:tblHeader w:val="true"/>
        </w:trPr>
        <w:tc>
          <w:tcPr>
            <w:tcW w:type="dxa" w:w="624"/>
            <w:shd w:val="clear" w:color="auto" w:fill="DCE6F2"/>
          </w:tcPr>
          <w:p>
            <w:pPr>
              <w:spacing w:after="20"/>
            </w:pPr>
            <w:r/>
            <w:r>
              <w:rPr>
                <w:b/>
                <w:sz w:val="17"/>
              </w:rPr>
              <w:t>T+1</w:t>
            </w:r>
          </w:p>
        </w:tc>
        <w:tc>
          <w:tcPr>
            <w:tcW w:type="dxa" w:w="3912"/>
            <w:shd w:val="clear" w:color="auto" w:fill="DCE6F2"/>
          </w:tcPr>
          <w:p>
            <w:pPr>
              <w:spacing w:after="20"/>
            </w:pPr>
            <w:r/>
            <w:r>
              <w:rPr>
                <w:b/>
                <w:sz w:val="17"/>
              </w:rPr>
              <w:t>Iniciativa</w:t>
            </w:r>
          </w:p>
        </w:tc>
        <w:tc>
          <w:tcPr>
            <w:tcW w:type="dxa" w:w="794"/>
            <w:shd w:val="clear" w:color="auto" w:fill="DCE6F2"/>
          </w:tcPr>
          <w:p>
            <w:pPr>
              <w:spacing w:after="20"/>
            </w:pPr>
            <w:r/>
            <w:r>
              <w:rPr>
                <w:b/>
                <w:sz w:val="17"/>
              </w:rPr>
              <w:t>Meses</w:t>
            </w:r>
          </w:p>
        </w:tc>
        <w:tc>
          <w:tcPr>
            <w:tcW w:type="dxa" w:w="737"/>
            <w:shd w:val="clear" w:color="auto" w:fill="DCE6F2"/>
          </w:tcPr>
          <w:p>
            <w:pPr>
              <w:spacing w:after="20"/>
            </w:pPr>
            <w:r/>
            <w:r>
              <w:rPr>
                <w:b/>
                <w:sz w:val="17"/>
              </w:rPr>
              <w:t>Valor</w:t>
            </w:r>
          </w:p>
        </w:tc>
        <w:tc>
          <w:tcPr>
            <w:tcW w:type="dxa" w:w="737"/>
            <w:shd w:val="clear" w:color="auto" w:fill="DCE6F2"/>
          </w:tcPr>
          <w:p>
            <w:pPr>
              <w:spacing w:after="20"/>
            </w:pPr>
            <w:r/>
            <w:r>
              <w:rPr>
                <w:b/>
                <w:sz w:val="17"/>
              </w:rPr>
              <w:t>Riesgo</w:t>
            </w:r>
          </w:p>
        </w:tc>
        <w:tc>
          <w:tcPr>
            <w:tcW w:type="dxa" w:w="567"/>
            <w:shd w:val="clear" w:color="auto" w:fill="DCE6F2"/>
          </w:tcPr>
          <w:p>
            <w:pPr>
              <w:spacing w:after="20"/>
            </w:pPr>
            <w:r/>
            <w:r>
              <w:rPr>
                <w:b/>
                <w:sz w:val="17"/>
              </w:rPr>
              <w:t>UC</w:t>
            </w:r>
          </w:p>
        </w:tc>
        <w:tc>
          <w:tcPr>
            <w:tcW w:type="dxa" w:w="794"/>
            <w:shd w:val="clear" w:color="auto" w:fill="DCE6F2"/>
          </w:tcPr>
          <w:p>
            <w:pPr>
              <w:spacing w:after="20"/>
            </w:pPr>
            <w:r/>
            <w:r>
              <w:rPr>
                <w:b/>
                <w:sz w:val="17"/>
              </w:rPr>
              <w:t>UC año 1</w:t>
            </w:r>
          </w:p>
        </w:tc>
        <w:tc>
          <w:tcPr>
            <w:tcW w:type="dxa" w:w="1020"/>
            <w:shd w:val="clear" w:color="auto" w:fill="DCE6F2"/>
          </w:tcPr>
          <w:p>
            <w:pPr>
              <w:spacing w:after="20"/>
            </w:pPr>
            <w:r/>
            <w:r>
              <w:rPr>
                <w:b/>
                <w:sz w:val="17"/>
              </w:rPr>
              <w:t>Depende de</w:t>
            </w:r>
          </w:p>
        </w:tc>
      </w:tr>
      <w:tr>
        <w:tc>
          <w:tcPr>
            <w:tcW w:type="dxa" w:w="624"/>
          </w:tcPr>
          <w:p>
            <w:pPr>
              <w:spacing w:after="20"/>
            </w:pPr>
            <w:r/>
            <w:r>
              <w:rPr>
                <w:sz w:val="17"/>
              </w:rPr>
              <w:t>D2</w:t>
            </w:r>
          </w:p>
        </w:tc>
        <w:tc>
          <w:tcPr>
            <w:tcW w:type="dxa" w:w="3912"/>
          </w:tcPr>
          <w:p>
            <w:pPr>
              <w:spacing w:after="20"/>
            </w:pPr>
            <w:r/>
            <w:r>
              <w:rPr>
                <w:sz w:val="17"/>
              </w:rPr>
              <w:t>Índice maestro, fase 2: adaptador de HIS-NORTE sobre el bus (outbox); seis sedes integradas</w:t>
            </w:r>
          </w:p>
        </w:tc>
        <w:tc>
          <w:tcPr>
            <w:tcW w:type="dxa" w:w="794"/>
          </w:tcPr>
          <w:p>
            <w:pPr>
              <w:spacing w:after="20"/>
            </w:pPr>
            <w:r/>
            <w:r>
              <w:rPr>
                <w:sz w:val="17"/>
              </w:rPr>
              <w:t>7–16</w:t>
            </w:r>
          </w:p>
        </w:tc>
        <w:tc>
          <w:tcPr>
            <w:tcW w:type="dxa" w:w="737"/>
          </w:tcPr>
          <w:p>
            <w:pPr>
              <w:spacing w:after="20"/>
            </w:pPr>
            <w:r/>
            <w:r>
              <w:rPr>
                <w:sz w:val="17"/>
              </w:rPr>
              <w:t>Alto</w:t>
            </w:r>
          </w:p>
        </w:tc>
        <w:tc>
          <w:tcPr>
            <w:tcW w:type="dxa" w:w="737"/>
          </w:tcPr>
          <w:p>
            <w:pPr>
              <w:spacing w:after="20"/>
            </w:pPr>
            <w:r/>
            <w:r>
              <w:rPr>
                <w:sz w:val="17"/>
              </w:rPr>
              <w:t>Alto</w:t>
            </w:r>
          </w:p>
        </w:tc>
        <w:tc>
          <w:tcPr>
            <w:tcW w:type="dxa" w:w="567"/>
          </w:tcPr>
          <w:p>
            <w:pPr>
              <w:spacing w:after="20"/>
            </w:pPr>
            <w:r/>
            <w:r>
              <w:rPr>
                <w:sz w:val="17"/>
              </w:rPr>
              <w:t>10</w:t>
            </w:r>
          </w:p>
        </w:tc>
        <w:tc>
          <w:tcPr>
            <w:tcW w:type="dxa" w:w="794"/>
          </w:tcPr>
          <w:p>
            <w:pPr>
              <w:spacing w:after="20"/>
            </w:pPr>
            <w:r/>
            <w:r>
              <w:rPr>
                <w:sz w:val="17"/>
              </w:rPr>
              <w:t>5</w:t>
            </w:r>
          </w:p>
        </w:tc>
        <w:tc>
          <w:tcPr>
            <w:tcW w:type="dxa" w:w="1020"/>
          </w:tcPr>
          <w:p>
            <w:pPr>
              <w:spacing w:after="20"/>
            </w:pPr>
            <w:r/>
            <w:r>
              <w:rPr>
                <w:sz w:val="17"/>
              </w:rPr>
              <w:t>D1</w:t>
            </w:r>
          </w:p>
        </w:tc>
      </w:tr>
      <w:tr>
        <w:tc>
          <w:tcPr>
            <w:tcW w:type="dxa" w:w="624"/>
          </w:tcPr>
          <w:p>
            <w:pPr>
              <w:spacing w:after="20"/>
            </w:pPr>
            <w:r/>
            <w:r>
              <w:rPr>
                <w:sz w:val="17"/>
              </w:rPr>
              <w:t>A6</w:t>
            </w:r>
          </w:p>
        </w:tc>
        <w:tc>
          <w:tcPr>
            <w:tcW w:type="dxa" w:w="3912"/>
          </w:tcPr>
          <w:p>
            <w:pPr>
              <w:spacing w:after="20"/>
            </w:pPr>
            <w:r/>
            <w:r>
              <w:rPr>
                <w:sz w:val="17"/>
              </w:rPr>
              <w:t>Resumen Digital de Atención desde HIS-NORTE, con catálogos homologados entre los dos HIS</w:t>
            </w:r>
          </w:p>
        </w:tc>
        <w:tc>
          <w:tcPr>
            <w:tcW w:type="dxa" w:w="794"/>
          </w:tcPr>
          <w:p>
            <w:pPr>
              <w:spacing w:after="20"/>
            </w:pPr>
            <w:r/>
            <w:r>
              <w:rPr>
                <w:sz w:val="17"/>
              </w:rPr>
              <w:t>7–14</w:t>
            </w:r>
          </w:p>
        </w:tc>
        <w:tc>
          <w:tcPr>
            <w:tcW w:type="dxa" w:w="737"/>
          </w:tcPr>
          <w:p>
            <w:pPr>
              <w:spacing w:after="20"/>
            </w:pPr>
            <w:r/>
            <w:r>
              <w:rPr>
                <w:sz w:val="17"/>
              </w:rPr>
              <w:t>Alto</w:t>
            </w:r>
          </w:p>
        </w:tc>
        <w:tc>
          <w:tcPr>
            <w:tcW w:type="dxa" w:w="737"/>
          </w:tcPr>
          <w:p>
            <w:pPr>
              <w:spacing w:after="20"/>
            </w:pPr>
            <w:r/>
            <w:r>
              <w:rPr>
                <w:sz w:val="17"/>
              </w:rPr>
              <w:t>Medio</w:t>
            </w:r>
          </w:p>
        </w:tc>
        <w:tc>
          <w:tcPr>
            <w:tcW w:type="dxa" w:w="567"/>
          </w:tcPr>
          <w:p>
            <w:pPr>
              <w:spacing w:after="20"/>
            </w:pPr>
            <w:r/>
            <w:r>
              <w:rPr>
                <w:sz w:val="17"/>
              </w:rPr>
              <w:t>3</w:t>
            </w:r>
          </w:p>
        </w:tc>
        <w:tc>
          <w:tcPr>
            <w:tcW w:type="dxa" w:w="794"/>
          </w:tcPr>
          <w:p>
            <w:pPr>
              <w:spacing w:after="20"/>
            </w:pPr>
            <w:r/>
            <w:r>
              <w:rPr>
                <w:sz w:val="17"/>
              </w:rPr>
              <w:t>3</w:t>
            </w:r>
          </w:p>
        </w:tc>
        <w:tc>
          <w:tcPr>
            <w:tcW w:type="dxa" w:w="1020"/>
          </w:tcPr>
          <w:p>
            <w:pPr>
              <w:spacing w:after="20"/>
            </w:pPr>
            <w:r/>
            <w:r>
              <w:rPr>
                <w:sz w:val="17"/>
              </w:rPr>
              <w:t>A5, D1</w:t>
            </w:r>
          </w:p>
        </w:tc>
      </w:tr>
      <w:tr>
        <w:tc>
          <w:tcPr>
            <w:tcW w:type="dxa" w:w="624"/>
          </w:tcPr>
          <w:p>
            <w:pPr>
              <w:spacing w:after="20"/>
            </w:pPr>
            <w:r/>
            <w:r>
              <w:rPr>
                <w:sz w:val="17"/>
              </w:rPr>
              <w:t>D3</w:t>
            </w:r>
          </w:p>
        </w:tc>
        <w:tc>
          <w:tcPr>
            <w:tcW w:type="dxa" w:w="3912"/>
          </w:tcPr>
          <w:p>
            <w:pPr>
              <w:spacing w:after="20"/>
            </w:pPr>
            <w:r/>
            <w:r>
              <w:rPr>
                <w:sz w:val="17"/>
              </w:rPr>
              <w:t>Calidad del dato en el origen del ciclo de ingresos: tarifa y RIPS validados en FACT-SALUD</w:t>
            </w:r>
          </w:p>
        </w:tc>
        <w:tc>
          <w:tcPr>
            <w:tcW w:type="dxa" w:w="794"/>
          </w:tcPr>
          <w:p>
            <w:pPr>
              <w:spacing w:after="20"/>
            </w:pPr>
            <w:r/>
            <w:r>
              <w:rPr>
                <w:sz w:val="17"/>
              </w:rPr>
              <w:t>7–15</w:t>
            </w:r>
          </w:p>
        </w:tc>
        <w:tc>
          <w:tcPr>
            <w:tcW w:type="dxa" w:w="737"/>
          </w:tcPr>
          <w:p>
            <w:pPr>
              <w:spacing w:after="20"/>
            </w:pPr>
            <w:r/>
            <w:r>
              <w:rPr>
                <w:sz w:val="17"/>
              </w:rPr>
              <w:t>Alto</w:t>
            </w:r>
          </w:p>
        </w:tc>
        <w:tc>
          <w:tcPr>
            <w:tcW w:type="dxa" w:w="737"/>
          </w:tcPr>
          <w:p>
            <w:pPr>
              <w:spacing w:after="20"/>
            </w:pPr>
            <w:r/>
            <w:r>
              <w:rPr>
                <w:sz w:val="17"/>
              </w:rPr>
              <w:t>Medio</w:t>
            </w:r>
          </w:p>
        </w:tc>
        <w:tc>
          <w:tcPr>
            <w:tcW w:type="dxa" w:w="567"/>
          </w:tcPr>
          <w:p>
            <w:pPr>
              <w:spacing w:after="20"/>
            </w:pPr>
            <w:r/>
            <w:r>
              <w:rPr>
                <w:sz w:val="17"/>
              </w:rPr>
              <w:t>6</w:t>
            </w:r>
          </w:p>
        </w:tc>
        <w:tc>
          <w:tcPr>
            <w:tcW w:type="dxa" w:w="794"/>
          </w:tcPr>
          <w:p>
            <w:pPr>
              <w:spacing w:after="20"/>
            </w:pPr>
            <w:r/>
            <w:r>
              <w:rPr>
                <w:sz w:val="17"/>
              </w:rPr>
              <w:t>4</w:t>
            </w:r>
          </w:p>
        </w:tc>
        <w:tc>
          <w:tcPr>
            <w:tcW w:type="dxa" w:w="1020"/>
          </w:tcPr>
          <w:p>
            <w:pPr>
              <w:spacing w:after="20"/>
            </w:pPr>
            <w:r/>
            <w:r>
              <w:rPr>
                <w:sz w:val="17"/>
              </w:rPr>
              <w:t>A2</w:t>
            </w:r>
          </w:p>
        </w:tc>
      </w:tr>
      <w:tr>
        <w:tc>
          <w:tcPr>
            <w:tcW w:type="dxa" w:w="624"/>
          </w:tcPr>
          <w:p>
            <w:pPr>
              <w:spacing w:after="20"/>
            </w:pPr>
            <w:r/>
            <w:r>
              <w:rPr>
                <w:sz w:val="17"/>
              </w:rPr>
              <w:t>A4</w:t>
            </w:r>
          </w:p>
        </w:tc>
        <w:tc>
          <w:tcPr>
            <w:tcW w:type="dxa" w:w="3912"/>
          </w:tcPr>
          <w:p>
            <w:pPr>
              <w:spacing w:after="20"/>
            </w:pPr>
            <w:r/>
            <w:r>
              <w:rPr>
                <w:sz w:val="17"/>
              </w:rPr>
              <w:t>Interfaz de órdenes HIS-NORTE → LIS-LAB</w:t>
            </w:r>
          </w:p>
        </w:tc>
        <w:tc>
          <w:tcPr>
            <w:tcW w:type="dxa" w:w="794"/>
          </w:tcPr>
          <w:p>
            <w:pPr>
              <w:spacing w:after="20"/>
            </w:pPr>
            <w:r/>
            <w:r>
              <w:rPr>
                <w:sz w:val="17"/>
              </w:rPr>
              <w:t>11–16</w:t>
            </w:r>
          </w:p>
        </w:tc>
        <w:tc>
          <w:tcPr>
            <w:tcW w:type="dxa" w:w="737"/>
          </w:tcPr>
          <w:p>
            <w:pPr>
              <w:spacing w:after="20"/>
            </w:pPr>
            <w:r/>
            <w:r>
              <w:rPr>
                <w:sz w:val="17"/>
              </w:rPr>
              <w:t>Medio</w:t>
            </w:r>
          </w:p>
        </w:tc>
        <w:tc>
          <w:tcPr>
            <w:tcW w:type="dxa" w:w="737"/>
          </w:tcPr>
          <w:p>
            <w:pPr>
              <w:spacing w:after="20"/>
            </w:pPr>
            <w:r/>
            <w:r>
              <w:rPr>
                <w:sz w:val="17"/>
              </w:rPr>
              <w:t>Medio</w:t>
            </w:r>
          </w:p>
        </w:tc>
        <w:tc>
          <w:tcPr>
            <w:tcW w:type="dxa" w:w="567"/>
          </w:tcPr>
          <w:p>
            <w:pPr>
              <w:spacing w:after="20"/>
            </w:pPr>
            <w:r/>
            <w:r>
              <w:rPr>
                <w:sz w:val="17"/>
              </w:rPr>
              <w:t>4</w:t>
            </w:r>
          </w:p>
        </w:tc>
        <w:tc>
          <w:tcPr>
            <w:tcW w:type="dxa" w:w="794"/>
          </w:tcPr>
          <w:p>
            <w:pPr>
              <w:spacing w:after="20"/>
            </w:pPr>
            <w:r/>
            <w:r>
              <w:rPr>
                <w:sz w:val="17"/>
              </w:rPr>
              <w:t>2</w:t>
            </w:r>
          </w:p>
        </w:tc>
        <w:tc>
          <w:tcPr>
            <w:tcW w:type="dxa" w:w="1020"/>
          </w:tcPr>
          <w:p>
            <w:pPr>
              <w:spacing w:after="20"/>
            </w:pPr>
            <w:r/>
            <w:r>
              <w:rPr>
                <w:sz w:val="17"/>
              </w:rPr>
              <w:t>D2</w:t>
            </w:r>
          </w:p>
        </w:tc>
      </w:tr>
      <w:tr>
        <w:tc>
          <w:tcPr>
            <w:tcW w:type="dxa" w:w="624"/>
          </w:tcPr>
          <w:p>
            <w:pPr>
              <w:spacing w:after="20"/>
            </w:pPr>
            <w:r/>
            <w:r>
              <w:rPr>
                <w:sz w:val="17"/>
              </w:rPr>
              <w:t>N3</w:t>
            </w:r>
          </w:p>
        </w:tc>
        <w:tc>
          <w:tcPr>
            <w:tcW w:type="dxa" w:w="3912"/>
          </w:tcPr>
          <w:p>
            <w:pPr>
              <w:spacing w:after="20"/>
            </w:pPr>
            <w:r/>
            <w:r>
              <w:rPr>
                <w:sz w:val="17"/>
              </w:rPr>
              <w:t>Telemedicina integrada: la teleconsulta escribe en la historia y se factura sin digitación</w:t>
            </w:r>
          </w:p>
        </w:tc>
        <w:tc>
          <w:tcPr>
            <w:tcW w:type="dxa" w:w="794"/>
          </w:tcPr>
          <w:p>
            <w:pPr>
              <w:spacing w:after="20"/>
            </w:pPr>
            <w:r/>
            <w:r>
              <w:rPr>
                <w:sz w:val="17"/>
              </w:rPr>
              <w:t>10–18</w:t>
            </w:r>
          </w:p>
        </w:tc>
        <w:tc>
          <w:tcPr>
            <w:tcW w:type="dxa" w:w="737"/>
          </w:tcPr>
          <w:p>
            <w:pPr>
              <w:spacing w:after="20"/>
            </w:pPr>
            <w:r/>
            <w:r>
              <w:rPr>
                <w:sz w:val="17"/>
              </w:rPr>
              <w:t>Alto</w:t>
            </w:r>
          </w:p>
        </w:tc>
        <w:tc>
          <w:tcPr>
            <w:tcW w:type="dxa" w:w="737"/>
          </w:tcPr>
          <w:p>
            <w:pPr>
              <w:spacing w:after="20"/>
            </w:pPr>
            <w:r/>
            <w:r>
              <w:rPr>
                <w:sz w:val="17"/>
              </w:rPr>
              <w:t>Medio</w:t>
            </w:r>
          </w:p>
        </w:tc>
        <w:tc>
          <w:tcPr>
            <w:tcW w:type="dxa" w:w="567"/>
          </w:tcPr>
          <w:p>
            <w:pPr>
              <w:spacing w:after="20"/>
            </w:pPr>
            <w:r/>
            <w:r>
              <w:rPr>
                <w:sz w:val="17"/>
              </w:rPr>
              <w:t>5</w:t>
            </w:r>
          </w:p>
        </w:tc>
        <w:tc>
          <w:tcPr>
            <w:tcW w:type="dxa" w:w="794"/>
          </w:tcPr>
          <w:p>
            <w:pPr>
              <w:spacing w:after="20"/>
            </w:pPr>
            <w:r/>
            <w:r>
              <w:rPr>
                <w:sz w:val="17"/>
              </w:rPr>
              <w:t>2</w:t>
            </w:r>
          </w:p>
        </w:tc>
        <w:tc>
          <w:tcPr>
            <w:tcW w:type="dxa" w:w="1020"/>
          </w:tcPr>
          <w:p>
            <w:pPr>
              <w:spacing w:after="20"/>
            </w:pPr>
            <w:r/>
            <w:r>
              <w:rPr>
                <w:sz w:val="17"/>
              </w:rPr>
              <w:t>N2, D1</w:t>
            </w:r>
          </w:p>
        </w:tc>
      </w:tr>
      <w:tr>
        <w:tc>
          <w:tcPr>
            <w:tcW w:type="dxa" w:w="624"/>
          </w:tcPr>
          <w:p>
            <w:pPr>
              <w:spacing w:after="20"/>
            </w:pPr>
            <w:r/>
            <w:r>
              <w:rPr>
                <w:sz w:val="17"/>
              </w:rPr>
              <w:t>T2</w:t>
            </w:r>
          </w:p>
        </w:tc>
        <w:tc>
          <w:tcPr>
            <w:tcW w:type="dxa" w:w="3912"/>
          </w:tcPr>
          <w:p>
            <w:pPr>
              <w:spacing w:after="20"/>
            </w:pPr>
            <w:r/>
            <w:r>
              <w:rPr>
                <w:sz w:val="17"/>
              </w:rPr>
              <w:t>Lineamiento y catálogo de nubes; migrar el portal del paciente a la nube aprobada</w:t>
            </w:r>
          </w:p>
        </w:tc>
        <w:tc>
          <w:tcPr>
            <w:tcW w:type="dxa" w:w="794"/>
          </w:tcPr>
          <w:p>
            <w:pPr>
              <w:spacing w:after="20"/>
            </w:pPr>
            <w:r/>
            <w:r>
              <w:rPr>
                <w:sz w:val="17"/>
              </w:rPr>
              <w:t>7–14</w:t>
            </w:r>
          </w:p>
        </w:tc>
        <w:tc>
          <w:tcPr>
            <w:tcW w:type="dxa" w:w="737"/>
          </w:tcPr>
          <w:p>
            <w:pPr>
              <w:spacing w:after="20"/>
            </w:pPr>
            <w:r/>
            <w:r>
              <w:rPr>
                <w:sz w:val="17"/>
              </w:rPr>
              <w:t>Medio</w:t>
            </w:r>
          </w:p>
        </w:tc>
        <w:tc>
          <w:tcPr>
            <w:tcW w:type="dxa" w:w="737"/>
          </w:tcPr>
          <w:p>
            <w:pPr>
              <w:spacing w:after="20"/>
            </w:pPr>
            <w:r/>
            <w:r>
              <w:rPr>
                <w:sz w:val="17"/>
              </w:rPr>
              <w:t>Medio</w:t>
            </w:r>
          </w:p>
        </w:tc>
        <w:tc>
          <w:tcPr>
            <w:tcW w:type="dxa" w:w="567"/>
          </w:tcPr>
          <w:p>
            <w:pPr>
              <w:spacing w:after="20"/>
            </w:pPr>
            <w:r/>
            <w:r>
              <w:rPr>
                <w:sz w:val="17"/>
              </w:rPr>
              <w:t>4</w:t>
            </w:r>
          </w:p>
        </w:tc>
        <w:tc>
          <w:tcPr>
            <w:tcW w:type="dxa" w:w="794"/>
          </w:tcPr>
          <w:p>
            <w:pPr>
              <w:spacing w:after="20"/>
            </w:pPr>
            <w:r/>
            <w:r>
              <w:rPr>
                <w:sz w:val="17"/>
              </w:rPr>
              <w:t>2</w:t>
            </w:r>
          </w:p>
        </w:tc>
        <w:tc>
          <w:tcPr>
            <w:tcW w:type="dxa" w:w="1020"/>
          </w:tcPr>
          <w:p>
            <w:pPr>
              <w:spacing w:after="20"/>
            </w:pPr>
            <w:r/>
            <w:r>
              <w:rPr>
                <w:sz w:val="17"/>
              </w:rPr>
              <w:t>N1</w:t>
            </w:r>
          </w:p>
        </w:tc>
      </w:tr>
      <w:tr>
        <w:tc>
          <w:tcPr>
            <w:tcW w:type="dxa" w:w="624"/>
          </w:tcPr>
          <w:p>
            <w:pPr>
              <w:spacing w:after="20"/>
            </w:pPr>
            <w:r/>
            <w:r>
              <w:rPr>
                <w:sz w:val="17"/>
              </w:rPr>
              <w:t>T3</w:t>
            </w:r>
          </w:p>
        </w:tc>
        <w:tc>
          <w:tcPr>
            <w:tcW w:type="dxa" w:w="3912"/>
          </w:tcPr>
          <w:p>
            <w:pPr>
              <w:spacing w:after="20"/>
            </w:pPr>
            <w:r/>
            <w:r>
              <w:rPr>
                <w:sz w:val="17"/>
              </w:rPr>
              <w:t>Plan de recuperación probado y modo degradado de urgencias</w:t>
            </w:r>
          </w:p>
        </w:tc>
        <w:tc>
          <w:tcPr>
            <w:tcW w:type="dxa" w:w="794"/>
          </w:tcPr>
          <w:p>
            <w:pPr>
              <w:spacing w:after="20"/>
            </w:pPr>
            <w:r/>
            <w:r>
              <w:rPr>
                <w:sz w:val="17"/>
              </w:rPr>
              <w:t>7–12</w:t>
            </w:r>
          </w:p>
        </w:tc>
        <w:tc>
          <w:tcPr>
            <w:tcW w:type="dxa" w:w="737"/>
          </w:tcPr>
          <w:p>
            <w:pPr>
              <w:spacing w:after="20"/>
            </w:pPr>
            <w:r/>
            <w:r>
              <w:rPr>
                <w:sz w:val="17"/>
              </w:rPr>
              <w:t>Alto</w:t>
            </w:r>
          </w:p>
        </w:tc>
        <w:tc>
          <w:tcPr>
            <w:tcW w:type="dxa" w:w="737"/>
          </w:tcPr>
          <w:p>
            <w:pPr>
              <w:spacing w:after="20"/>
            </w:pPr>
            <w:r/>
            <w:r>
              <w:rPr>
                <w:sz w:val="17"/>
              </w:rPr>
              <w:t>Medio</w:t>
            </w:r>
          </w:p>
        </w:tc>
        <w:tc>
          <w:tcPr>
            <w:tcW w:type="dxa" w:w="567"/>
          </w:tcPr>
          <w:p>
            <w:pPr>
              <w:spacing w:after="20"/>
            </w:pPr>
            <w:r/>
            <w:r>
              <w:rPr>
                <w:sz w:val="17"/>
              </w:rPr>
              <w:t>4</w:t>
            </w:r>
          </w:p>
        </w:tc>
        <w:tc>
          <w:tcPr>
            <w:tcW w:type="dxa" w:w="794"/>
          </w:tcPr>
          <w:p>
            <w:pPr>
              <w:spacing w:after="20"/>
            </w:pPr>
            <w:r/>
            <w:r>
              <w:rPr>
                <w:sz w:val="17"/>
              </w:rPr>
              <w:t>2</w:t>
            </w:r>
          </w:p>
        </w:tc>
        <w:tc>
          <w:tcPr>
            <w:tcW w:type="dxa" w:w="1020"/>
          </w:tcPr>
          <w:p>
            <w:pPr>
              <w:spacing w:after="20"/>
            </w:pPr>
            <w:r/>
            <w:r>
              <w:rPr>
                <w:sz w:val="17"/>
              </w:rPr>
              <w:t>T1</w:t>
            </w:r>
          </w:p>
        </w:tc>
      </w:tr>
      <w:tr>
        <w:tc>
          <w:tcPr>
            <w:tcW w:type="dxa" w:w="624"/>
          </w:tcPr>
          <w:p>
            <w:pPr>
              <w:spacing w:after="20"/>
            </w:pPr>
            <w:r/>
            <w:r>
              <w:rPr>
                <w:sz w:val="17"/>
              </w:rPr>
              <w:t>N4</w:t>
            </w:r>
          </w:p>
        </w:tc>
        <w:tc>
          <w:tcPr>
            <w:tcW w:type="dxa" w:w="3912"/>
          </w:tcPr>
          <w:p>
            <w:pPr>
              <w:spacing w:after="20"/>
            </w:pPr>
            <w:r/>
            <w:r>
              <w:rPr>
                <w:sz w:val="17"/>
              </w:rPr>
              <w:t>Negociar la renovación puente de HIS-NORTE (18 meses, con cláusula de salida)</w:t>
            </w:r>
          </w:p>
        </w:tc>
        <w:tc>
          <w:tcPr>
            <w:tcW w:type="dxa" w:w="794"/>
          </w:tcPr>
          <w:p>
            <w:pPr>
              <w:spacing w:after="20"/>
            </w:pPr>
            <w:r/>
            <w:r>
              <w:rPr>
                <w:sz w:val="17"/>
              </w:rPr>
              <w:t>9–12</w:t>
            </w:r>
          </w:p>
        </w:tc>
        <w:tc>
          <w:tcPr>
            <w:tcW w:type="dxa" w:w="737"/>
          </w:tcPr>
          <w:p>
            <w:pPr>
              <w:spacing w:after="20"/>
            </w:pPr>
            <w:r/>
            <w:r>
              <w:rPr>
                <w:sz w:val="17"/>
              </w:rPr>
              <w:t>Alto</w:t>
            </w:r>
          </w:p>
        </w:tc>
        <w:tc>
          <w:tcPr>
            <w:tcW w:type="dxa" w:w="737"/>
          </w:tcPr>
          <w:p>
            <w:pPr>
              <w:spacing w:after="20"/>
            </w:pPr>
            <w:r/>
            <w:r>
              <w:rPr>
                <w:sz w:val="17"/>
              </w:rPr>
              <w:t>Bajo</w:t>
            </w:r>
          </w:p>
        </w:tc>
        <w:tc>
          <w:tcPr>
            <w:tcW w:type="dxa" w:w="567"/>
          </w:tcPr>
          <w:p>
            <w:pPr>
              <w:spacing w:after="20"/>
            </w:pPr>
            <w:r/>
            <w:r>
              <w:rPr>
                <w:sz w:val="17"/>
              </w:rPr>
              <w:t>1</w:t>
            </w:r>
          </w:p>
        </w:tc>
        <w:tc>
          <w:tcPr>
            <w:tcW w:type="dxa" w:w="794"/>
          </w:tcPr>
          <w:p>
            <w:pPr>
              <w:spacing w:after="20"/>
            </w:pPr>
            <w:r/>
            <w:r>
              <w:rPr>
                <w:sz w:val="17"/>
              </w:rPr>
              <w:t>1</w:t>
            </w:r>
          </w:p>
        </w:tc>
        <w:tc>
          <w:tcPr>
            <w:tcW w:type="dxa" w:w="1020"/>
          </w:tcPr>
          <w:p>
            <w:pPr>
              <w:spacing w:after="20"/>
            </w:pPr>
            <w:r/>
            <w:r>
              <w:rPr>
                <w:sz w:val="17"/>
              </w:rPr>
              <w:t>—</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176"/>
        <w:gridCol w:w="1176"/>
        <w:gridCol w:w="1176"/>
        <w:gridCol w:w="1176"/>
        <w:gridCol w:w="1176"/>
        <w:gridCol w:w="1176"/>
        <w:gridCol w:w="1176"/>
        <w:gridCol w:w="1176"/>
      </w:tblGrid>
      <w:tr>
        <w:trPr>
          <w:tblHeader w:val="true"/>
        </w:trPr>
        <w:tc>
          <w:tcPr>
            <w:tcW w:type="dxa" w:w="624"/>
            <w:shd w:val="clear" w:color="auto" w:fill="DCE6F2"/>
          </w:tcPr>
          <w:p>
            <w:pPr>
              <w:spacing w:after="20"/>
            </w:pPr>
            <w:r/>
            <w:r>
              <w:rPr>
                <w:b/>
                <w:sz w:val="17"/>
              </w:rPr>
              <w:t>T+2</w:t>
            </w:r>
          </w:p>
        </w:tc>
        <w:tc>
          <w:tcPr>
            <w:tcW w:type="dxa" w:w="3912"/>
            <w:shd w:val="clear" w:color="auto" w:fill="DCE6F2"/>
          </w:tcPr>
          <w:p>
            <w:pPr>
              <w:spacing w:after="20"/>
            </w:pPr>
            <w:r/>
            <w:r>
              <w:rPr>
                <w:b/>
                <w:sz w:val="17"/>
              </w:rPr>
              <w:t>Iniciativa</w:t>
            </w:r>
          </w:p>
        </w:tc>
        <w:tc>
          <w:tcPr>
            <w:tcW w:type="dxa" w:w="794"/>
            <w:shd w:val="clear" w:color="auto" w:fill="DCE6F2"/>
          </w:tcPr>
          <w:p>
            <w:pPr>
              <w:spacing w:after="20"/>
            </w:pPr>
            <w:r/>
            <w:r>
              <w:rPr>
                <w:b/>
                <w:sz w:val="17"/>
              </w:rPr>
              <w:t>Meses</w:t>
            </w:r>
          </w:p>
        </w:tc>
        <w:tc>
          <w:tcPr>
            <w:tcW w:type="dxa" w:w="737"/>
            <w:shd w:val="clear" w:color="auto" w:fill="DCE6F2"/>
          </w:tcPr>
          <w:p>
            <w:pPr>
              <w:spacing w:after="20"/>
            </w:pPr>
            <w:r/>
            <w:r>
              <w:rPr>
                <w:b/>
                <w:sz w:val="17"/>
              </w:rPr>
              <w:t>Valor</w:t>
            </w:r>
          </w:p>
        </w:tc>
        <w:tc>
          <w:tcPr>
            <w:tcW w:type="dxa" w:w="737"/>
            <w:shd w:val="clear" w:color="auto" w:fill="DCE6F2"/>
          </w:tcPr>
          <w:p>
            <w:pPr>
              <w:spacing w:after="20"/>
            </w:pPr>
            <w:r/>
            <w:r>
              <w:rPr>
                <w:b/>
                <w:sz w:val="17"/>
              </w:rPr>
              <w:t>Riesgo</w:t>
            </w:r>
          </w:p>
        </w:tc>
        <w:tc>
          <w:tcPr>
            <w:tcW w:type="dxa" w:w="567"/>
            <w:shd w:val="clear" w:color="auto" w:fill="DCE6F2"/>
          </w:tcPr>
          <w:p>
            <w:pPr>
              <w:spacing w:after="20"/>
            </w:pPr>
            <w:r/>
            <w:r>
              <w:rPr>
                <w:b/>
                <w:sz w:val="17"/>
              </w:rPr>
              <w:t>UC</w:t>
            </w:r>
          </w:p>
        </w:tc>
        <w:tc>
          <w:tcPr>
            <w:tcW w:type="dxa" w:w="794"/>
            <w:shd w:val="clear" w:color="auto" w:fill="DCE6F2"/>
          </w:tcPr>
          <w:p>
            <w:pPr>
              <w:spacing w:after="20"/>
            </w:pPr>
            <w:r/>
            <w:r>
              <w:rPr>
                <w:b/>
                <w:sz w:val="17"/>
              </w:rPr>
              <w:t>UC año 1</w:t>
            </w:r>
          </w:p>
        </w:tc>
        <w:tc>
          <w:tcPr>
            <w:tcW w:type="dxa" w:w="1020"/>
            <w:shd w:val="clear" w:color="auto" w:fill="DCE6F2"/>
          </w:tcPr>
          <w:p>
            <w:pPr>
              <w:spacing w:after="20"/>
            </w:pPr>
            <w:r/>
            <w:r>
              <w:rPr>
                <w:b/>
                <w:sz w:val="17"/>
              </w:rPr>
              <w:t>Depende de</w:t>
            </w:r>
          </w:p>
        </w:tc>
      </w:tr>
      <w:tr>
        <w:tc>
          <w:tcPr>
            <w:tcW w:type="dxa" w:w="624"/>
          </w:tcPr>
          <w:p>
            <w:pPr>
              <w:spacing w:after="20"/>
            </w:pPr>
            <w:r/>
            <w:r>
              <w:rPr>
                <w:sz w:val="17"/>
              </w:rPr>
              <w:t>D4</w:t>
            </w:r>
          </w:p>
        </w:tc>
        <w:tc>
          <w:tcPr>
            <w:tcW w:type="dxa" w:w="3912"/>
          </w:tcPr>
          <w:p>
            <w:pPr>
              <w:spacing w:after="20"/>
            </w:pPr>
            <w:r/>
            <w:r>
              <w:rPr>
                <w:sz w:val="17"/>
              </w:rPr>
              <w:t>Visión 360 del paciente sobre el índice maestro y los datos homologados</w:t>
            </w:r>
          </w:p>
        </w:tc>
        <w:tc>
          <w:tcPr>
            <w:tcW w:type="dxa" w:w="794"/>
          </w:tcPr>
          <w:p>
            <w:pPr>
              <w:spacing w:after="20"/>
            </w:pPr>
            <w:r/>
            <w:r>
              <w:rPr>
                <w:sz w:val="17"/>
              </w:rPr>
              <w:t>19–30</w:t>
            </w:r>
          </w:p>
        </w:tc>
        <w:tc>
          <w:tcPr>
            <w:tcW w:type="dxa" w:w="737"/>
          </w:tcPr>
          <w:p>
            <w:pPr>
              <w:spacing w:after="20"/>
            </w:pPr>
            <w:r/>
            <w:r>
              <w:rPr>
                <w:sz w:val="17"/>
              </w:rPr>
              <w:t>Alto</w:t>
            </w:r>
          </w:p>
        </w:tc>
        <w:tc>
          <w:tcPr>
            <w:tcW w:type="dxa" w:w="737"/>
          </w:tcPr>
          <w:p>
            <w:pPr>
              <w:spacing w:after="20"/>
            </w:pPr>
            <w:r/>
            <w:r>
              <w:rPr>
                <w:sz w:val="17"/>
              </w:rPr>
              <w:t>Medio</w:t>
            </w:r>
          </w:p>
        </w:tc>
        <w:tc>
          <w:tcPr>
            <w:tcW w:type="dxa" w:w="567"/>
          </w:tcPr>
          <w:p>
            <w:pPr>
              <w:spacing w:after="20"/>
            </w:pPr>
            <w:r/>
            <w:r>
              <w:rPr>
                <w:sz w:val="17"/>
              </w:rPr>
              <w:t>8</w:t>
            </w:r>
          </w:p>
        </w:tc>
        <w:tc>
          <w:tcPr>
            <w:tcW w:type="dxa" w:w="794"/>
          </w:tcPr>
          <w:p>
            <w:pPr>
              <w:spacing w:after="20"/>
            </w:pPr>
            <w:r/>
            <w:r>
              <w:rPr>
                <w:sz w:val="17"/>
              </w:rPr>
              <w:t>0</w:t>
            </w:r>
          </w:p>
        </w:tc>
        <w:tc>
          <w:tcPr>
            <w:tcW w:type="dxa" w:w="1020"/>
          </w:tcPr>
          <w:p>
            <w:pPr>
              <w:spacing w:after="20"/>
            </w:pPr>
            <w:r/>
            <w:r>
              <w:rPr>
                <w:sz w:val="17"/>
              </w:rPr>
              <w:t>D2, A5</w:t>
            </w:r>
          </w:p>
        </w:tc>
      </w:tr>
      <w:tr>
        <w:tc>
          <w:tcPr>
            <w:tcW w:type="dxa" w:w="624"/>
          </w:tcPr>
          <w:p>
            <w:pPr>
              <w:spacing w:after="20"/>
            </w:pPr>
            <w:r/>
            <w:r>
              <w:rPr>
                <w:sz w:val="17"/>
              </w:rPr>
              <w:t>N5</w:t>
            </w:r>
          </w:p>
        </w:tc>
        <w:tc>
          <w:tcPr>
            <w:tcW w:type="dxa" w:w="3912"/>
          </w:tcPr>
          <w:p>
            <w:pPr>
              <w:spacing w:after="20"/>
            </w:pPr>
            <w:r/>
            <w:r>
              <w:rPr>
                <w:sz w:val="17"/>
              </w:rPr>
              <w:t>Venta B2B repetible: incorporación de clientes por API estándar</w:t>
            </w:r>
          </w:p>
        </w:tc>
        <w:tc>
          <w:tcPr>
            <w:tcW w:type="dxa" w:w="794"/>
          </w:tcPr>
          <w:p>
            <w:pPr>
              <w:spacing w:after="20"/>
            </w:pPr>
            <w:r/>
            <w:r>
              <w:rPr>
                <w:sz w:val="17"/>
              </w:rPr>
              <w:t>19–27</w:t>
            </w:r>
          </w:p>
        </w:tc>
        <w:tc>
          <w:tcPr>
            <w:tcW w:type="dxa" w:w="737"/>
          </w:tcPr>
          <w:p>
            <w:pPr>
              <w:spacing w:after="20"/>
            </w:pPr>
            <w:r/>
            <w:r>
              <w:rPr>
                <w:sz w:val="17"/>
              </w:rPr>
              <w:t>Alto</w:t>
            </w:r>
          </w:p>
        </w:tc>
        <w:tc>
          <w:tcPr>
            <w:tcW w:type="dxa" w:w="737"/>
          </w:tcPr>
          <w:p>
            <w:pPr>
              <w:spacing w:after="20"/>
            </w:pPr>
            <w:r/>
            <w:r>
              <w:rPr>
                <w:sz w:val="17"/>
              </w:rPr>
              <w:t>Medio</w:t>
            </w:r>
          </w:p>
        </w:tc>
        <w:tc>
          <w:tcPr>
            <w:tcW w:type="dxa" w:w="567"/>
          </w:tcPr>
          <w:p>
            <w:pPr>
              <w:spacing w:after="20"/>
            </w:pPr>
            <w:r/>
            <w:r>
              <w:rPr>
                <w:sz w:val="17"/>
              </w:rPr>
              <w:t>6</w:t>
            </w:r>
          </w:p>
        </w:tc>
        <w:tc>
          <w:tcPr>
            <w:tcW w:type="dxa" w:w="794"/>
          </w:tcPr>
          <w:p>
            <w:pPr>
              <w:spacing w:after="20"/>
            </w:pPr>
            <w:r/>
            <w:r>
              <w:rPr>
                <w:sz w:val="17"/>
              </w:rPr>
              <w:t>0</w:t>
            </w:r>
          </w:p>
        </w:tc>
        <w:tc>
          <w:tcPr>
            <w:tcW w:type="dxa" w:w="1020"/>
          </w:tcPr>
          <w:p>
            <w:pPr>
              <w:spacing w:after="20"/>
            </w:pPr>
            <w:r/>
            <w:r>
              <w:rPr>
                <w:sz w:val="17"/>
              </w:rPr>
              <w:t>A3</w:t>
            </w:r>
          </w:p>
        </w:tc>
      </w:tr>
      <w:tr>
        <w:tc>
          <w:tcPr>
            <w:tcW w:type="dxa" w:w="624"/>
          </w:tcPr>
          <w:p>
            <w:pPr>
              <w:spacing w:after="20"/>
            </w:pPr>
            <w:r/>
            <w:r>
              <w:rPr>
                <w:sz w:val="17"/>
              </w:rPr>
              <w:t>T4</w:t>
            </w:r>
          </w:p>
        </w:tc>
        <w:tc>
          <w:tcPr>
            <w:tcW w:type="dxa" w:w="3912"/>
          </w:tcPr>
          <w:p>
            <w:pPr>
              <w:spacing w:after="20"/>
            </w:pPr>
            <w:r/>
            <w:r>
              <w:rPr>
                <w:sz w:val="17"/>
              </w:rPr>
              <w:t>Sitio alterno para la atención crítica</w:t>
            </w:r>
          </w:p>
        </w:tc>
        <w:tc>
          <w:tcPr>
            <w:tcW w:type="dxa" w:w="794"/>
          </w:tcPr>
          <w:p>
            <w:pPr>
              <w:spacing w:after="20"/>
            </w:pPr>
            <w:r/>
            <w:r>
              <w:rPr>
                <w:sz w:val="17"/>
              </w:rPr>
              <w:t>22–36</w:t>
            </w:r>
          </w:p>
        </w:tc>
        <w:tc>
          <w:tcPr>
            <w:tcW w:type="dxa" w:w="737"/>
          </w:tcPr>
          <w:p>
            <w:pPr>
              <w:spacing w:after="20"/>
            </w:pPr>
            <w:r/>
            <w:r>
              <w:rPr>
                <w:sz w:val="17"/>
              </w:rPr>
              <w:t>Alto</w:t>
            </w:r>
          </w:p>
        </w:tc>
        <w:tc>
          <w:tcPr>
            <w:tcW w:type="dxa" w:w="737"/>
          </w:tcPr>
          <w:p>
            <w:pPr>
              <w:spacing w:after="20"/>
            </w:pPr>
            <w:r/>
            <w:r>
              <w:rPr>
                <w:sz w:val="17"/>
              </w:rPr>
              <w:t>Alto</w:t>
            </w:r>
          </w:p>
        </w:tc>
        <w:tc>
          <w:tcPr>
            <w:tcW w:type="dxa" w:w="567"/>
          </w:tcPr>
          <w:p>
            <w:pPr>
              <w:spacing w:after="20"/>
            </w:pPr>
            <w:r/>
            <w:r>
              <w:rPr>
                <w:sz w:val="17"/>
              </w:rPr>
              <w:t>15</w:t>
            </w:r>
          </w:p>
        </w:tc>
        <w:tc>
          <w:tcPr>
            <w:tcW w:type="dxa" w:w="794"/>
          </w:tcPr>
          <w:p>
            <w:pPr>
              <w:spacing w:after="20"/>
            </w:pPr>
            <w:r/>
            <w:r>
              <w:rPr>
                <w:sz w:val="17"/>
              </w:rPr>
              <w:t>0</w:t>
            </w:r>
          </w:p>
        </w:tc>
        <w:tc>
          <w:tcPr>
            <w:tcW w:type="dxa" w:w="1020"/>
          </w:tcPr>
          <w:p>
            <w:pPr>
              <w:spacing w:after="20"/>
            </w:pPr>
            <w:r/>
            <w:r>
              <w:rPr>
                <w:sz w:val="17"/>
              </w:rPr>
              <w:t>T3</w:t>
            </w:r>
          </w:p>
        </w:tc>
      </w:tr>
    </w:tbl>
    <w:p>
      <w:pPr>
        <w:spacing w:after="40"/>
      </w:pPr>
    </w:p>
    <w:p>
      <w:r>
        <w:rPr>
          <w:i/>
          <w:sz w:val="19"/>
        </w:rPr>
        <w:t>Tabla 8.</w:t>
      </w:r>
      <w:r>
        <w:rPr>
          <w:sz w:val="19"/>
        </w:rPr>
        <w:t xml:space="preserve"> Portafolio priorizado. UC: unidades de costo relativo. Año 1: T+0 usa 29 UC y el arranque de T+1, 21 UC; total 50 de 50 aprobadas.</w:t>
      </w:r>
    </w:p>
    <w:p>
      <w:pPr>
        <w:pStyle w:val="Heading2"/>
      </w:pPr>
      <w:r>
        <w:t>5.3 Lo que no cabe en el año 1</w:t>
      </w:r>
    </w:p>
    <w:p>
      <w:r>
        <w:t>TI estima 100 UC para el año 1; hay 50. Recortar todo a la mitad produciría seis proyectos a medio hacer. Se prefirió hacer completo lo necesario y diferir con nombre propio lo demás:</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567"/>
            <w:shd w:val="clear" w:color="auto" w:fill="DCE6F2"/>
          </w:tcPr>
          <w:p>
            <w:pPr>
              <w:spacing w:after="20"/>
            </w:pPr>
            <w:r/>
          </w:p>
        </w:tc>
        <w:tc>
          <w:tcPr>
            <w:tcW w:type="dxa" w:w="2268"/>
            <w:shd w:val="clear" w:color="auto" w:fill="DCE6F2"/>
          </w:tcPr>
          <w:p>
            <w:pPr>
              <w:spacing w:after="20"/>
            </w:pPr>
            <w:r/>
            <w:r>
              <w:rPr>
                <w:b/>
                <w:sz w:val="17"/>
              </w:rPr>
              <w:t>Inversión diferida</w:t>
            </w:r>
          </w:p>
        </w:tc>
        <w:tc>
          <w:tcPr>
            <w:tcW w:type="dxa" w:w="567"/>
            <w:shd w:val="clear" w:color="auto" w:fill="DCE6F2"/>
          </w:tcPr>
          <w:p>
            <w:pPr>
              <w:spacing w:after="20"/>
            </w:pPr>
            <w:r/>
            <w:r>
              <w:rPr>
                <w:b/>
                <w:sz w:val="17"/>
              </w:rPr>
              <w:t>UC</w:t>
            </w:r>
          </w:p>
        </w:tc>
        <w:tc>
          <w:tcPr>
            <w:tcW w:type="dxa" w:w="1701"/>
            <w:shd w:val="clear" w:color="auto" w:fill="DCE6F2"/>
          </w:tcPr>
          <w:p>
            <w:pPr>
              <w:spacing w:after="20"/>
            </w:pPr>
            <w:r/>
            <w:r>
              <w:rPr>
                <w:b/>
                <w:sz w:val="17"/>
              </w:rPr>
              <w:t>A dónde va</w:t>
            </w:r>
          </w:p>
        </w:tc>
        <w:tc>
          <w:tcPr>
            <w:tcW w:type="dxa" w:w="4082"/>
            <w:shd w:val="clear" w:color="auto" w:fill="DCE6F2"/>
          </w:tcPr>
          <w:p>
            <w:pPr>
              <w:spacing w:after="20"/>
            </w:pPr>
            <w:r/>
            <w:r>
              <w:rPr>
                <w:b/>
                <w:sz w:val="17"/>
              </w:rPr>
              <w:t>Por qué puede esperar</w:t>
            </w:r>
          </w:p>
        </w:tc>
      </w:tr>
      <w:tr>
        <w:tc>
          <w:tcPr>
            <w:tcW w:type="dxa" w:w="567"/>
          </w:tcPr>
          <w:p>
            <w:pPr>
              <w:spacing w:after="20"/>
            </w:pPr>
            <w:r/>
            <w:r>
              <w:rPr>
                <w:sz w:val="17"/>
              </w:rPr>
              <w:t>X1</w:t>
            </w:r>
          </w:p>
        </w:tc>
        <w:tc>
          <w:tcPr>
            <w:tcW w:type="dxa" w:w="2268"/>
          </w:tcPr>
          <w:p>
            <w:pPr>
              <w:spacing w:after="20"/>
            </w:pPr>
            <w:r/>
            <w:r>
              <w:rPr>
                <w:sz w:val="17"/>
              </w:rPr>
              <w:t>Sitio alterno completo</w:t>
            </w:r>
          </w:p>
        </w:tc>
        <w:tc>
          <w:tcPr>
            <w:tcW w:type="dxa" w:w="567"/>
          </w:tcPr>
          <w:p>
            <w:pPr>
              <w:spacing w:after="20"/>
            </w:pPr>
            <w:r/>
            <w:r>
              <w:rPr>
                <w:sz w:val="17"/>
              </w:rPr>
              <w:t>15</w:t>
            </w:r>
          </w:p>
        </w:tc>
        <w:tc>
          <w:tcPr>
            <w:tcW w:type="dxa" w:w="1701"/>
          </w:tcPr>
          <w:p>
            <w:pPr>
              <w:spacing w:after="20"/>
            </w:pPr>
            <w:r/>
            <w:r>
              <w:rPr>
                <w:sz w:val="17"/>
              </w:rPr>
              <w:t>T+2 (T4)</w:t>
            </w:r>
          </w:p>
        </w:tc>
        <w:tc>
          <w:tcPr>
            <w:tcW w:type="dxa" w:w="4082"/>
          </w:tcPr>
          <w:p>
            <w:pPr>
              <w:spacing w:after="20"/>
            </w:pPr>
            <w:r/>
            <w:r>
              <w:rPr>
                <w:sz w:val="17"/>
              </w:rPr>
              <w:t>En el año 1 se prueba el plan de recuperación y el modo degradado (T3), que cubre el riesgo de P1 a una fracción del costo</w:t>
            </w:r>
          </w:p>
        </w:tc>
      </w:tr>
      <w:tr>
        <w:tc>
          <w:tcPr>
            <w:tcW w:type="dxa" w:w="567"/>
          </w:tcPr>
          <w:p>
            <w:pPr>
              <w:spacing w:after="20"/>
            </w:pPr>
            <w:r/>
            <w:r>
              <w:rPr>
                <w:sz w:val="17"/>
              </w:rPr>
              <w:t>X2</w:t>
            </w:r>
          </w:p>
        </w:tc>
        <w:tc>
          <w:tcPr>
            <w:tcW w:type="dxa" w:w="2268"/>
          </w:tcPr>
          <w:p>
            <w:pPr>
              <w:spacing w:after="20"/>
            </w:pPr>
            <w:r/>
            <w:r>
              <w:rPr>
                <w:sz w:val="17"/>
              </w:rPr>
              <w:t>Portal y aplicación del paciente unificados</w:t>
            </w:r>
          </w:p>
        </w:tc>
        <w:tc>
          <w:tcPr>
            <w:tcW w:type="dxa" w:w="567"/>
          </w:tcPr>
          <w:p>
            <w:pPr>
              <w:spacing w:after="20"/>
            </w:pPr>
            <w:r/>
            <w:r>
              <w:rPr>
                <w:sz w:val="17"/>
              </w:rPr>
              <w:t>10</w:t>
            </w:r>
          </w:p>
        </w:tc>
        <w:tc>
          <w:tcPr>
            <w:tcW w:type="dxa" w:w="1701"/>
          </w:tcPr>
          <w:p>
            <w:pPr>
              <w:spacing w:after="20"/>
            </w:pPr>
            <w:r/>
            <w:r>
              <w:rPr>
                <w:sz w:val="17"/>
              </w:rPr>
              <w:t>Fuera del roadmap</w:t>
            </w:r>
          </w:p>
        </w:tc>
        <w:tc>
          <w:tcPr>
            <w:tcW w:type="dxa" w:w="4082"/>
          </w:tcPr>
          <w:p>
            <w:pPr>
              <w:spacing w:after="20"/>
            </w:pPr>
            <w:r/>
            <w:r>
              <w:rPr>
                <w:sz w:val="17"/>
              </w:rPr>
              <w:t>APP-PACIENTE tiene baja adopción (§5); ninguna apuesta lo exige antes de tener identidad única</w:t>
            </w:r>
          </w:p>
        </w:tc>
      </w:tr>
      <w:tr>
        <w:tc>
          <w:tcPr>
            <w:tcW w:type="dxa" w:w="567"/>
          </w:tcPr>
          <w:p>
            <w:pPr>
              <w:spacing w:after="20"/>
            </w:pPr>
            <w:r/>
            <w:r>
              <w:rPr>
                <w:sz w:val="17"/>
              </w:rPr>
              <w:t>X3</w:t>
            </w:r>
          </w:p>
        </w:tc>
        <w:tc>
          <w:tcPr>
            <w:tcW w:type="dxa" w:w="2268"/>
          </w:tcPr>
          <w:p>
            <w:pPr>
              <w:spacing w:after="20"/>
            </w:pPr>
            <w:r/>
            <w:r>
              <w:rPr>
                <w:sz w:val="17"/>
              </w:rPr>
              <w:t>Actualizar FACT-SALUD dos versiones</w:t>
            </w:r>
          </w:p>
        </w:tc>
        <w:tc>
          <w:tcPr>
            <w:tcW w:type="dxa" w:w="567"/>
          </w:tcPr>
          <w:p>
            <w:pPr>
              <w:spacing w:after="20"/>
            </w:pPr>
            <w:r/>
            <w:r>
              <w:rPr>
                <w:sz w:val="17"/>
              </w:rPr>
              <w:t>8</w:t>
            </w:r>
          </w:p>
        </w:tc>
        <w:tc>
          <w:tcPr>
            <w:tcW w:type="dxa" w:w="1701"/>
          </w:tcPr>
          <w:p>
            <w:pPr>
              <w:spacing w:after="20"/>
            </w:pPr>
            <w:r/>
            <w:r>
              <w:rPr>
                <w:sz w:val="17"/>
              </w:rPr>
              <w:t>Se revisa en el mes 18</w:t>
            </w:r>
          </w:p>
        </w:tc>
        <w:tc>
          <w:tcPr>
            <w:tcW w:type="dxa" w:w="4082"/>
          </w:tcPr>
          <w:p>
            <w:pPr>
              <w:spacing w:after="20"/>
            </w:pPr>
            <w:r/>
            <w:r>
              <w:rPr>
                <w:sz w:val="17"/>
              </w:rPr>
              <w:t>D3 pone las validaciones que la glosa necesita sin tocar la personalización; la actualización se decide con la rama A/B</w:t>
            </w:r>
          </w:p>
        </w:tc>
      </w:tr>
      <w:tr>
        <w:tc>
          <w:tcPr>
            <w:tcW w:type="dxa" w:w="567"/>
          </w:tcPr>
          <w:p>
            <w:pPr>
              <w:spacing w:after="20"/>
            </w:pPr>
            <w:r/>
            <w:r>
              <w:rPr>
                <w:sz w:val="17"/>
              </w:rPr>
              <w:t>X4</w:t>
            </w:r>
          </w:p>
        </w:tc>
        <w:tc>
          <w:tcPr>
            <w:tcW w:type="dxa" w:w="2268"/>
          </w:tcPr>
          <w:p>
            <w:pPr>
              <w:spacing w:after="20"/>
            </w:pPr>
            <w:r/>
            <w:r>
              <w:rPr>
                <w:sz w:val="17"/>
              </w:rPr>
              <w:t>Plataforma analítica para la visión 360</w:t>
            </w:r>
          </w:p>
        </w:tc>
        <w:tc>
          <w:tcPr>
            <w:tcW w:type="dxa" w:w="567"/>
          </w:tcPr>
          <w:p>
            <w:pPr>
              <w:spacing w:after="20"/>
            </w:pPr>
            <w:r/>
            <w:r>
              <w:rPr>
                <w:sz w:val="17"/>
              </w:rPr>
              <w:t>8</w:t>
            </w:r>
          </w:p>
        </w:tc>
        <w:tc>
          <w:tcPr>
            <w:tcW w:type="dxa" w:w="1701"/>
          </w:tcPr>
          <w:p>
            <w:pPr>
              <w:spacing w:after="20"/>
            </w:pPr>
            <w:r/>
            <w:r>
              <w:rPr>
                <w:sz w:val="17"/>
              </w:rPr>
              <w:t>T+2 (D4)</w:t>
            </w:r>
          </w:p>
        </w:tc>
        <w:tc>
          <w:tcPr>
            <w:tcW w:type="dxa" w:w="4082"/>
          </w:tcPr>
          <w:p>
            <w:pPr>
              <w:spacing w:after="20"/>
            </w:pPr>
            <w:r/>
            <w:r>
              <w:rPr>
                <w:sz w:val="17"/>
              </w:rPr>
              <w:t>Sin índice maestro, la visión 360 consolidaría cuatro versiones del mismo paciente</w:t>
            </w:r>
          </w:p>
        </w:tc>
      </w:tr>
      <w:tr>
        <w:tc>
          <w:tcPr>
            <w:tcW w:type="dxa" w:w="567"/>
          </w:tcPr>
          <w:p>
            <w:pPr>
              <w:spacing w:after="20"/>
            </w:pPr>
            <w:r/>
            <w:r>
              <w:rPr>
                <w:sz w:val="17"/>
              </w:rPr>
              <w:t>X5</w:t>
            </w:r>
          </w:p>
        </w:tc>
        <w:tc>
          <w:tcPr>
            <w:tcW w:type="dxa" w:w="2268"/>
          </w:tcPr>
          <w:p>
            <w:pPr>
              <w:spacing w:after="20"/>
            </w:pPr>
            <w:r/>
            <w:r>
              <w:rPr>
                <w:sz w:val="17"/>
              </w:rPr>
              <w:t>Eliminar la ventana dominical de HIS-CORE</w:t>
            </w:r>
          </w:p>
        </w:tc>
        <w:tc>
          <w:tcPr>
            <w:tcW w:type="dxa" w:w="567"/>
          </w:tcPr>
          <w:p>
            <w:pPr>
              <w:spacing w:after="20"/>
            </w:pPr>
            <w:r/>
            <w:r>
              <w:rPr>
                <w:sz w:val="17"/>
              </w:rPr>
              <w:t>5</w:t>
            </w:r>
          </w:p>
        </w:tc>
        <w:tc>
          <w:tcPr>
            <w:tcW w:type="dxa" w:w="1701"/>
          </w:tcPr>
          <w:p>
            <w:pPr>
              <w:spacing w:after="20"/>
            </w:pPr>
            <w:r/>
            <w:r>
              <w:rPr>
                <w:sz w:val="17"/>
              </w:rPr>
              <w:t>Depende de la decisión A/B</w:t>
            </w:r>
          </w:p>
        </w:tc>
        <w:tc>
          <w:tcPr>
            <w:tcW w:type="dxa" w:w="4082"/>
          </w:tcPr>
          <w:p>
            <w:pPr>
              <w:spacing w:after="20"/>
            </w:pPr>
            <w:r/>
            <w:r>
              <w:rPr>
                <w:sz w:val="17"/>
              </w:rPr>
              <w:t>Si en el mes 18 se consolida (B), la inversión va al HIS que queda; hacerlo antes puede ser dinero perdido</w:t>
            </w:r>
          </w:p>
        </w:tc>
      </w:tr>
      <w:tr>
        <w:tc>
          <w:tcPr>
            <w:tcW w:type="dxa" w:w="567"/>
          </w:tcPr>
          <w:p>
            <w:pPr>
              <w:spacing w:after="20"/>
            </w:pPr>
            <w:r/>
            <w:r>
              <w:rPr>
                <w:sz w:val="17"/>
              </w:rPr>
              <w:t>X6</w:t>
            </w:r>
          </w:p>
        </w:tc>
        <w:tc>
          <w:tcPr>
            <w:tcW w:type="dxa" w:w="2268"/>
          </w:tcPr>
          <w:p>
            <w:pPr>
              <w:spacing w:after="20"/>
            </w:pPr>
            <w:r/>
            <w:r>
              <w:rPr>
                <w:sz w:val="17"/>
              </w:rPr>
              <w:t>Integrar CRM-CC con HIS-CORE</w:t>
            </w:r>
          </w:p>
        </w:tc>
        <w:tc>
          <w:tcPr>
            <w:tcW w:type="dxa" w:w="567"/>
          </w:tcPr>
          <w:p>
            <w:pPr>
              <w:spacing w:after="20"/>
            </w:pPr>
            <w:r/>
            <w:r>
              <w:rPr>
                <w:sz w:val="17"/>
              </w:rPr>
              <w:t>4</w:t>
            </w:r>
          </w:p>
        </w:tc>
        <w:tc>
          <w:tcPr>
            <w:tcW w:type="dxa" w:w="1701"/>
          </w:tcPr>
          <w:p>
            <w:pPr>
              <w:spacing w:after="20"/>
            </w:pPr>
            <w:r/>
            <w:r>
              <w:rPr>
                <w:sz w:val="17"/>
              </w:rPr>
              <w:t>T+2</w:t>
            </w:r>
          </w:p>
        </w:tc>
        <w:tc>
          <w:tcPr>
            <w:tcW w:type="dxa" w:w="4082"/>
          </w:tcPr>
          <w:p>
            <w:pPr>
              <w:spacing w:after="20"/>
            </w:pPr>
            <w:r/>
            <w:r>
              <w:rPr>
                <w:sz w:val="17"/>
              </w:rPr>
              <w:t>Molesta al agente, pero no produce glosa ni riesgo clínico</w:t>
            </w:r>
          </w:p>
        </w:tc>
      </w:tr>
    </w:tbl>
    <w:p>
      <w:pPr>
        <w:spacing w:after="40"/>
      </w:pPr>
    </w:p>
    <w:p>
      <w:r>
        <w:rPr>
          <w:i/>
          <w:sz w:val="19"/>
        </w:rPr>
        <w:t>Tabla 9.</w:t>
      </w:r>
      <w:r>
        <w:rPr>
          <w:sz w:val="19"/>
        </w:rPr>
        <w:t xml:space="preserve"> Inversiones que no caben en el año 1: 50 UC diferidas con nombre propio.</w:t>
      </w:r>
    </w:p>
    <w:p>
      <w:pPr>
        <w:pStyle w:val="Heading2"/>
      </w:pPr>
      <w:r>
        <w:t>5.4 El roadmap en el tiempo</w:t>
      </w:r>
    </w:p>
    <w:p>
      <w:pPr>
        <w:keepNext/>
        <w:jc w:val="center"/>
      </w:pPr>
      <w:r>
        <w:drawing>
          <wp:inline xmlns:a="http://schemas.openxmlformats.org/drawingml/2006/main" xmlns:pic="http://schemas.openxmlformats.org/drawingml/2006/picture">
            <wp:extent cx="3849600" cy="7200000"/>
            <wp:docPr id="4" name="Picture 4"/>
            <wp:cNvGraphicFramePr>
              <a:graphicFrameLocks noChangeAspect="1"/>
            </wp:cNvGraphicFramePr>
            <a:graphic>
              <a:graphicData uri="http://schemas.openxmlformats.org/drawingml/2006/picture">
                <pic:pic>
                  <pic:nvPicPr>
                    <pic:cNvPr id="0" name="fig4_roadmap_girada.png"/>
                    <pic:cNvPicPr/>
                  </pic:nvPicPr>
                  <pic:blipFill>
                    <a:blip r:embed="rId13"/>
                    <a:stretch>
                      <a:fillRect/>
                    </a:stretch>
                  </pic:blipFill>
                  <pic:spPr>
                    <a:xfrm>
                      <a:off x="0" y="0"/>
                      <a:ext cx="3849600" cy="7200000"/>
                    </a:xfrm>
                    <a:prstGeom prst="rect"/>
                  </pic:spPr>
                </pic:pic>
              </a:graphicData>
            </a:graphic>
          </wp:inline>
        </w:drawing>
      </w:r>
    </w:p>
    <w:p>
      <w:pPr>
        <w:spacing w:after="160"/>
      </w:pPr>
      <w:r>
        <w:rPr>
          <w:i/>
          <w:sz w:val="19"/>
        </w:rPr>
        <w:t>Figura 4.</w:t>
      </w:r>
      <w:r>
        <w:rPr>
          <w:sz w:val="19"/>
        </w:rPr>
        <w:t xml:space="preserve"> Roadmap de transformación en tres horizontes, con los resultados visibles y el punto de decisión del mes 18. Elaboración propia.</w:t>
      </w:r>
    </w:p>
    <w:p>
      <w:r>
        <w:t>Las arquitecturas de transición (plateaus) que agrupan estas iniciativas están en la vista de implementación y migración del Anexo B. Cada plateau se sostiene solo, como exige TOGAF para las arquitecturas de transición: si la organización detuviera el roadmap en el mes 6 o en el 18, quedaría en un estado estable y mejor que el de partida. Es la respuesta arquitectónica a la fatiga de programa.</w:t>
      </w:r>
    </w:p>
    <w:p>
      <w:pPr>
        <w:pStyle w:val="Heading2"/>
      </w:pPr>
      <w:r>
        <w:t>5.5 La decisión que el roadmap deja abierta: mantener o consolidar</w:t>
      </w:r>
    </w:p>
    <w:p>
      <w:r>
        <w:t>En el mes 18 se cumplen los 18 meses de convivencia de los dos HIS que la Unidad 2 fijó como punto de revisión. El ARB presenta al comité de TI la decisión entre mantener la capa de integración (rama A) o consolidar las seis sedes en HIS-CORE y apagar HIS-NORTE (rama B), con los cinco criterios medidos durante T+1. La renovación puente de HIS-NORTE (N4) existe para que el contrato no decida por la organización.</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2041"/>
            <w:shd w:val="clear" w:color="auto" w:fill="DCE6F2"/>
          </w:tcPr>
          <w:p>
            <w:pPr>
              <w:spacing w:after="20"/>
            </w:pPr>
            <w:r/>
            <w:r>
              <w:rPr>
                <w:b/>
                <w:sz w:val="17"/>
              </w:rPr>
              <w:t>Criterio</w:t>
            </w:r>
          </w:p>
        </w:tc>
        <w:tc>
          <w:tcPr>
            <w:tcW w:type="dxa" w:w="3061"/>
            <w:shd w:val="clear" w:color="auto" w:fill="DCE6F2"/>
          </w:tcPr>
          <w:p>
            <w:pPr>
              <w:spacing w:after="20"/>
            </w:pPr>
            <w:r/>
            <w:r>
              <w:rPr>
                <w:b/>
                <w:sz w:val="17"/>
              </w:rPr>
              <w:t>Cómo se mide</w:t>
            </w:r>
          </w:p>
        </w:tc>
        <w:tc>
          <w:tcPr>
            <w:tcW w:type="dxa" w:w="1928"/>
            <w:shd w:val="clear" w:color="auto" w:fill="DCE6F2"/>
          </w:tcPr>
          <w:p>
            <w:pPr>
              <w:spacing w:after="20"/>
            </w:pPr>
            <w:r/>
            <w:r>
              <w:rPr>
                <w:b/>
                <w:sz w:val="17"/>
              </w:rPr>
              <w:t>Umbral a favor de B</w:t>
            </w:r>
          </w:p>
        </w:tc>
        <w:tc>
          <w:tcPr>
            <w:tcW w:type="dxa" w:w="2154"/>
            <w:shd w:val="clear" w:color="auto" w:fill="DCE6F2"/>
          </w:tcPr>
          <w:p>
            <w:pPr>
              <w:spacing w:after="20"/>
            </w:pPr>
            <w:r/>
            <w:r>
              <w:rPr>
                <w:b/>
                <w:sz w:val="17"/>
              </w:rPr>
              <w:t>Fuente</w:t>
            </w:r>
          </w:p>
        </w:tc>
      </w:tr>
      <w:tr>
        <w:tc>
          <w:tcPr>
            <w:tcW w:type="dxa" w:w="2041"/>
          </w:tcPr>
          <w:p>
            <w:pPr>
              <w:spacing w:after="20"/>
            </w:pPr>
            <w:r/>
            <w:r>
              <w:rPr>
                <w:b/>
                <w:sz w:val="17"/>
              </w:rPr>
              <w:t>C1 · Identidad confiable</w:t>
            </w:r>
          </w:p>
        </w:tc>
        <w:tc>
          <w:tcPr>
            <w:tcW w:type="dxa" w:w="3061"/>
          </w:tcPr>
          <w:p>
            <w:pPr>
              <w:spacing w:after="20"/>
            </w:pPr>
            <w:r/>
            <w:r>
              <w:rPr>
                <w:sz w:val="17"/>
              </w:rPr>
              <w:t>Error de conciliación del índice maestro en las 24 sedes</w:t>
            </w:r>
          </w:p>
        </w:tc>
        <w:tc>
          <w:tcPr>
            <w:tcW w:type="dxa" w:w="1928"/>
          </w:tcPr>
          <w:p>
            <w:pPr>
              <w:spacing w:after="20"/>
            </w:pPr>
            <w:r/>
            <w:r>
              <w:rPr>
                <w:sz w:val="17"/>
              </w:rPr>
              <w:t>≤ 1 %</w:t>
            </w:r>
          </w:p>
        </w:tc>
        <w:tc>
          <w:tcPr>
            <w:tcW w:type="dxa" w:w="2154"/>
          </w:tcPr>
          <w:p>
            <w:pPr>
              <w:spacing w:after="20"/>
            </w:pPr>
            <w:r/>
            <w:r>
              <w:rPr>
                <w:sz w:val="17"/>
              </w:rPr>
              <w:t>Informe del índice maestro (D2)</w:t>
            </w:r>
          </w:p>
        </w:tc>
      </w:tr>
      <w:tr>
        <w:tc>
          <w:tcPr>
            <w:tcW w:type="dxa" w:w="2041"/>
          </w:tcPr>
          <w:p>
            <w:pPr>
              <w:spacing w:after="20"/>
            </w:pPr>
            <w:r/>
            <w:r>
              <w:rPr>
                <w:b/>
                <w:sz w:val="17"/>
              </w:rPr>
              <w:t>C2 · HIS-CORE sin dependencia de dos personas</w:t>
            </w:r>
          </w:p>
        </w:tc>
        <w:tc>
          <w:tcPr>
            <w:tcW w:type="dxa" w:w="3061"/>
          </w:tcPr>
          <w:p>
            <w:pPr>
              <w:spacing w:after="20"/>
            </w:pPr>
            <w:r/>
            <w:r>
              <w:rPr>
                <w:sz w:val="17"/>
              </w:rPr>
              <w:t>Personas que atienden un cambio en HIS-CORE</w:t>
            </w:r>
          </w:p>
        </w:tc>
        <w:tc>
          <w:tcPr>
            <w:tcW w:type="dxa" w:w="1928"/>
          </w:tcPr>
          <w:p>
            <w:pPr>
              <w:spacing w:after="20"/>
            </w:pPr>
            <w:r/>
            <w:r>
              <w:rPr>
                <w:sz w:val="17"/>
              </w:rPr>
              <w:t>≥ 3</w:t>
            </w:r>
          </w:p>
        </w:tc>
        <w:tc>
          <w:tcPr>
            <w:tcW w:type="dxa" w:w="2154"/>
          </w:tcPr>
          <w:p>
            <w:pPr>
              <w:spacing w:after="20"/>
            </w:pPr>
            <w:r/>
            <w:r>
              <w:rPr>
                <w:sz w:val="17"/>
              </w:rPr>
              <w:t>Plan de transferencia (K1) y riesgo RA-2 de la Unidad 3</w:t>
            </w:r>
          </w:p>
        </w:tc>
      </w:tr>
      <w:tr>
        <w:tc>
          <w:tcPr>
            <w:tcW w:type="dxa" w:w="2041"/>
          </w:tcPr>
          <w:p>
            <w:pPr>
              <w:spacing w:after="20"/>
            </w:pPr>
            <w:r/>
            <w:r>
              <w:rPr>
                <w:b/>
                <w:sz w:val="17"/>
              </w:rPr>
              <w:t>C3 · Datos clínicos homologados</w:t>
            </w:r>
          </w:p>
        </w:tc>
        <w:tc>
          <w:tcPr>
            <w:tcW w:type="dxa" w:w="3061"/>
          </w:tcPr>
          <w:p>
            <w:pPr>
              <w:spacing w:after="20"/>
            </w:pPr>
            <w:r/>
            <w:r>
              <w:rPr>
                <w:sz w:val="17"/>
              </w:rPr>
              <w:t>Procedimientos de HIS-NORTE con código homologado</w:t>
            </w:r>
          </w:p>
        </w:tc>
        <w:tc>
          <w:tcPr>
            <w:tcW w:type="dxa" w:w="1928"/>
          </w:tcPr>
          <w:p>
            <w:pPr>
              <w:spacing w:after="20"/>
            </w:pPr>
            <w:r/>
            <w:r>
              <w:rPr>
                <w:sz w:val="17"/>
              </w:rPr>
              <w:t>≥ 95 %</w:t>
            </w:r>
          </w:p>
        </w:tc>
        <w:tc>
          <w:tcPr>
            <w:tcW w:type="dxa" w:w="2154"/>
          </w:tcPr>
          <w:p>
            <w:pPr>
              <w:spacing w:after="20"/>
            </w:pPr>
            <w:r/>
            <w:r>
              <w:rPr>
                <w:sz w:val="17"/>
              </w:rPr>
              <w:t>Catálogos del Resumen Digital de Atención (A6)</w:t>
            </w:r>
          </w:p>
        </w:tc>
      </w:tr>
      <w:tr>
        <w:tc>
          <w:tcPr>
            <w:tcW w:type="dxa" w:w="2041"/>
          </w:tcPr>
          <w:p>
            <w:pPr>
              <w:spacing w:after="20"/>
            </w:pPr>
            <w:r/>
            <w:r>
              <w:rPr>
                <w:b/>
                <w:sz w:val="17"/>
              </w:rPr>
              <w:t>C4 · Convivencia más cara que migrar</w:t>
            </w:r>
          </w:p>
        </w:tc>
        <w:tc>
          <w:tcPr>
            <w:tcW w:type="dxa" w:w="3061"/>
          </w:tcPr>
          <w:p>
            <w:pPr>
              <w:spacing w:after="20"/>
            </w:pPr>
            <w:r/>
            <w:r>
              <w:rPr>
                <w:sz w:val="17"/>
              </w:rPr>
              <w:t>Costo anual de convivencia frente a costo de migrar repartido en tres años</w:t>
            </w:r>
          </w:p>
        </w:tc>
        <w:tc>
          <w:tcPr>
            <w:tcW w:type="dxa" w:w="1928"/>
          </w:tcPr>
          <w:p>
            <w:pPr>
              <w:spacing w:after="20"/>
            </w:pPr>
            <w:r/>
            <w:r>
              <w:rPr>
                <w:sz w:val="17"/>
              </w:rPr>
              <w:t>Convivencia mayor</w:t>
            </w:r>
          </w:p>
        </w:tc>
        <w:tc>
          <w:tcPr>
            <w:tcW w:type="dxa" w:w="2154"/>
          </w:tcPr>
          <w:p>
            <w:pPr>
              <w:spacing w:after="20"/>
            </w:pPr>
            <w:r/>
            <w:r>
              <w:rPr>
                <w:sz w:val="17"/>
              </w:rPr>
              <w:t>Registro de deuda de la Unidad 2 (partida «dos sistemas vivos»)</w:t>
            </w:r>
          </w:p>
        </w:tc>
      </w:tr>
      <w:tr>
        <w:tc>
          <w:tcPr>
            <w:tcW w:type="dxa" w:w="2041"/>
          </w:tcPr>
          <w:p>
            <w:pPr>
              <w:spacing w:after="20"/>
            </w:pPr>
            <w:r/>
            <w:r>
              <w:rPr>
                <w:b/>
                <w:sz w:val="17"/>
              </w:rPr>
              <w:t>C5 · Proveedor de HIS-NORTE</w:t>
            </w:r>
          </w:p>
        </w:tc>
        <w:tc>
          <w:tcPr>
            <w:tcW w:type="dxa" w:w="3061"/>
          </w:tcPr>
          <w:p>
            <w:pPr>
              <w:spacing w:after="20"/>
            </w:pPr>
            <w:r/>
            <w:r>
              <w:rPr>
                <w:sz w:val="17"/>
              </w:rPr>
              <w:t>Condiciones de una renovación larga</w:t>
            </w:r>
          </w:p>
        </w:tc>
        <w:tc>
          <w:tcPr>
            <w:tcW w:type="dxa" w:w="1928"/>
          </w:tcPr>
          <w:p>
            <w:pPr>
              <w:spacing w:after="20"/>
            </w:pPr>
            <w:r/>
            <w:r>
              <w:rPr>
                <w:sz w:val="17"/>
              </w:rPr>
              <w:t>Encarece más de 20 % o no asegura la API (s)</w:t>
            </w:r>
          </w:p>
        </w:tc>
        <w:tc>
          <w:tcPr>
            <w:tcW w:type="dxa" w:w="2154"/>
          </w:tcPr>
          <w:p>
            <w:pPr>
              <w:spacing w:after="20"/>
            </w:pPr>
            <w:r/>
            <w:r>
              <w:rPr>
                <w:sz w:val="17"/>
              </w:rPr>
              <w:t>Negociación de N4</w:t>
            </w:r>
          </w:p>
        </w:tc>
      </w:tr>
    </w:tbl>
    <w:p>
      <w:pPr>
        <w:spacing w:after="40"/>
      </w:pPr>
    </w:p>
    <w:p>
      <w:r>
        <w:rPr>
          <w:i/>
          <w:sz w:val="19"/>
        </w:rPr>
        <w:t>Tabla 10.</w:t>
      </w:r>
      <w:r>
        <w:rPr>
          <w:sz w:val="19"/>
        </w:rPr>
        <w:t xml:space="preserve"> Criterios de la decisión A/B del mes 18. (s): supuesto declarado.</w:t>
      </w:r>
    </w:p>
    <w:p>
      <w:r>
        <w:rPr>
          <w:b/>
        </w:rPr>
        <w:t>Regla:</w:t>
      </w:r>
      <w:r>
        <w:t xml:space="preserve"> C1, C2 y C3 son condiciones de entrada: si alguna no se cumple, consolidar es trasladar el riesgo, no quitarlo, y se sigue en A con revisión en el mes 30. Si las tres se cumplen, se consolida (B) cuando se cumple C4 o C5.</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344"/>
        <w:gridCol w:w="1344"/>
        <w:gridCol w:w="1344"/>
        <w:gridCol w:w="1344"/>
        <w:gridCol w:w="1344"/>
        <w:gridCol w:w="1344"/>
        <w:gridCol w:w="1344"/>
      </w:tblGrid>
      <w:tr>
        <w:trPr>
          <w:tblHeader w:val="true"/>
        </w:trPr>
        <w:tc>
          <w:tcPr>
            <w:tcW w:type="dxa" w:w="794"/>
            <w:shd w:val="clear" w:color="auto" w:fill="DCE6F2"/>
          </w:tcPr>
          <w:p>
            <w:pPr>
              <w:spacing w:after="20"/>
            </w:pPr>
            <w:r/>
          </w:p>
        </w:tc>
        <w:tc>
          <w:tcPr>
            <w:tcW w:type="dxa" w:w="1361"/>
            <w:shd w:val="clear" w:color="auto" w:fill="DCE6F2"/>
          </w:tcPr>
          <w:p>
            <w:pPr>
              <w:spacing w:after="20"/>
            </w:pPr>
            <w:r/>
            <w:r>
              <w:rPr>
                <w:b/>
                <w:sz w:val="17"/>
              </w:rPr>
              <w:t>Rama</w:t>
            </w:r>
          </w:p>
        </w:tc>
        <w:tc>
          <w:tcPr>
            <w:tcW w:type="dxa" w:w="4082"/>
            <w:shd w:val="clear" w:color="auto" w:fill="DCE6F2"/>
          </w:tcPr>
          <w:p>
            <w:pPr>
              <w:spacing w:after="20"/>
            </w:pPr>
            <w:r/>
            <w:r>
              <w:rPr>
                <w:b/>
                <w:sz w:val="17"/>
              </w:rPr>
              <w:t>Iniciativa</w:t>
            </w:r>
          </w:p>
        </w:tc>
        <w:tc>
          <w:tcPr>
            <w:tcW w:type="dxa" w:w="907"/>
            <w:shd w:val="clear" w:color="auto" w:fill="DCE6F2"/>
          </w:tcPr>
          <w:p>
            <w:pPr>
              <w:spacing w:after="20"/>
            </w:pPr>
            <w:r/>
            <w:r>
              <w:rPr>
                <w:b/>
                <w:sz w:val="17"/>
              </w:rPr>
              <w:t>Meses</w:t>
            </w:r>
          </w:p>
        </w:tc>
        <w:tc>
          <w:tcPr>
            <w:tcW w:type="dxa" w:w="567"/>
            <w:shd w:val="clear" w:color="auto" w:fill="DCE6F2"/>
          </w:tcPr>
          <w:p>
            <w:pPr>
              <w:spacing w:after="20"/>
            </w:pPr>
            <w:r/>
            <w:r>
              <w:rPr>
                <w:b/>
                <w:sz w:val="17"/>
              </w:rPr>
              <w:t>UC</w:t>
            </w:r>
          </w:p>
        </w:tc>
        <w:tc>
          <w:tcPr>
            <w:tcW w:type="dxa" w:w="737"/>
            <w:shd w:val="clear" w:color="auto" w:fill="DCE6F2"/>
          </w:tcPr>
          <w:p>
            <w:pPr>
              <w:spacing w:after="20"/>
            </w:pPr>
            <w:r/>
            <w:r>
              <w:rPr>
                <w:b/>
                <w:sz w:val="17"/>
              </w:rPr>
              <w:t>Valor</w:t>
            </w:r>
          </w:p>
        </w:tc>
        <w:tc>
          <w:tcPr>
            <w:tcW w:type="dxa" w:w="737"/>
            <w:shd w:val="clear" w:color="auto" w:fill="DCE6F2"/>
          </w:tcPr>
          <w:p>
            <w:pPr>
              <w:spacing w:after="20"/>
            </w:pPr>
            <w:r/>
            <w:r>
              <w:rPr>
                <w:b/>
                <w:sz w:val="17"/>
              </w:rPr>
              <w:t>Riesgo</w:t>
            </w:r>
          </w:p>
        </w:tc>
      </w:tr>
      <w:tr>
        <w:tc>
          <w:tcPr>
            <w:tcW w:type="dxa" w:w="794"/>
          </w:tcPr>
          <w:p>
            <w:pPr>
              <w:spacing w:after="20"/>
            </w:pPr>
            <w:r/>
            <w:r>
              <w:rPr>
                <w:sz w:val="17"/>
              </w:rPr>
              <w:t>A7-B</w:t>
            </w:r>
          </w:p>
        </w:tc>
        <w:tc>
          <w:tcPr>
            <w:tcW w:type="dxa" w:w="1361"/>
          </w:tcPr>
          <w:p>
            <w:pPr>
              <w:spacing w:after="20"/>
            </w:pPr>
            <w:r/>
            <w:r>
              <w:rPr>
                <w:sz w:val="17"/>
              </w:rPr>
              <w:t>B · Consolidar</w:t>
            </w:r>
          </w:p>
        </w:tc>
        <w:tc>
          <w:tcPr>
            <w:tcW w:type="dxa" w:w="4082"/>
          </w:tcPr>
          <w:p>
            <w:pPr>
              <w:spacing w:after="20"/>
            </w:pPr>
            <w:r/>
            <w:r>
              <w:rPr>
                <w:sz w:val="17"/>
              </w:rPr>
              <w:t>Migrar las seis sedes a HIS-CORE por oleadas de dos sedes y apagar HIS-NORTE antes del fin de la renovación puente (mes 30)</w:t>
            </w:r>
          </w:p>
        </w:tc>
        <w:tc>
          <w:tcPr>
            <w:tcW w:type="dxa" w:w="907"/>
          </w:tcPr>
          <w:p>
            <w:pPr>
              <w:spacing w:after="20"/>
            </w:pPr>
            <w:r/>
            <w:r>
              <w:rPr>
                <w:sz w:val="17"/>
              </w:rPr>
              <w:t>19 a 30</w:t>
            </w:r>
          </w:p>
        </w:tc>
        <w:tc>
          <w:tcPr>
            <w:tcW w:type="dxa" w:w="567"/>
          </w:tcPr>
          <w:p>
            <w:pPr>
              <w:spacing w:after="20"/>
            </w:pPr>
            <w:r/>
            <w:r>
              <w:rPr>
                <w:sz w:val="17"/>
              </w:rPr>
              <w:t>20</w:t>
            </w:r>
          </w:p>
        </w:tc>
        <w:tc>
          <w:tcPr>
            <w:tcW w:type="dxa" w:w="737"/>
          </w:tcPr>
          <w:p>
            <w:pPr>
              <w:spacing w:after="20"/>
            </w:pPr>
            <w:r/>
            <w:r>
              <w:rPr>
                <w:sz w:val="17"/>
              </w:rPr>
              <w:t>Alto</w:t>
            </w:r>
          </w:p>
        </w:tc>
        <w:tc>
          <w:tcPr>
            <w:tcW w:type="dxa" w:w="737"/>
          </w:tcPr>
          <w:p>
            <w:pPr>
              <w:spacing w:after="20"/>
            </w:pPr>
            <w:r/>
            <w:r>
              <w:rPr>
                <w:sz w:val="17"/>
              </w:rPr>
              <w:t>Alto</w:t>
            </w:r>
          </w:p>
        </w:tc>
      </w:tr>
      <w:tr>
        <w:tc>
          <w:tcPr>
            <w:tcW w:type="dxa" w:w="794"/>
          </w:tcPr>
          <w:p>
            <w:pPr>
              <w:spacing w:after="20"/>
            </w:pPr>
            <w:r/>
            <w:r>
              <w:rPr>
                <w:sz w:val="17"/>
              </w:rPr>
              <w:t>X5-B</w:t>
            </w:r>
          </w:p>
        </w:tc>
        <w:tc>
          <w:tcPr>
            <w:tcW w:type="dxa" w:w="1361"/>
          </w:tcPr>
          <w:p>
            <w:pPr>
              <w:spacing w:after="20"/>
            </w:pPr>
            <w:r/>
            <w:r>
              <w:rPr>
                <w:sz w:val="17"/>
              </w:rPr>
              <w:t>B · Consolidar</w:t>
            </w:r>
          </w:p>
        </w:tc>
        <w:tc>
          <w:tcPr>
            <w:tcW w:type="dxa" w:w="4082"/>
          </w:tcPr>
          <w:p>
            <w:pPr>
              <w:spacing w:after="20"/>
            </w:pPr>
            <w:r/>
            <w:r>
              <w:rPr>
                <w:sz w:val="17"/>
              </w:rPr>
              <w:t>Eliminar la ventana dominical en el HIS que queda</w:t>
            </w:r>
          </w:p>
        </w:tc>
        <w:tc>
          <w:tcPr>
            <w:tcW w:type="dxa" w:w="907"/>
          </w:tcPr>
          <w:p>
            <w:pPr>
              <w:spacing w:after="20"/>
            </w:pPr>
            <w:r/>
            <w:r>
              <w:rPr>
                <w:sz w:val="17"/>
              </w:rPr>
              <w:t>28 a 36</w:t>
            </w:r>
          </w:p>
        </w:tc>
        <w:tc>
          <w:tcPr>
            <w:tcW w:type="dxa" w:w="567"/>
          </w:tcPr>
          <w:p>
            <w:pPr>
              <w:spacing w:after="20"/>
            </w:pPr>
            <w:r/>
            <w:r>
              <w:rPr>
                <w:sz w:val="17"/>
              </w:rPr>
              <w:t>5</w:t>
            </w:r>
          </w:p>
        </w:tc>
        <w:tc>
          <w:tcPr>
            <w:tcW w:type="dxa" w:w="737"/>
          </w:tcPr>
          <w:p>
            <w:pPr>
              <w:spacing w:after="20"/>
            </w:pPr>
            <w:r/>
            <w:r>
              <w:rPr>
                <w:sz w:val="17"/>
              </w:rPr>
              <w:t>Alto</w:t>
            </w:r>
          </w:p>
        </w:tc>
        <w:tc>
          <w:tcPr>
            <w:tcW w:type="dxa" w:w="737"/>
          </w:tcPr>
          <w:p>
            <w:pPr>
              <w:spacing w:after="20"/>
            </w:pPr>
            <w:r/>
            <w:r>
              <w:rPr>
                <w:sz w:val="17"/>
              </w:rPr>
              <w:t>Medio</w:t>
            </w:r>
          </w:p>
        </w:tc>
      </w:tr>
      <w:tr>
        <w:tc>
          <w:tcPr>
            <w:tcW w:type="dxa" w:w="794"/>
          </w:tcPr>
          <w:p>
            <w:pPr>
              <w:spacing w:after="20"/>
            </w:pPr>
            <w:r/>
            <w:r>
              <w:rPr>
                <w:sz w:val="17"/>
              </w:rPr>
              <w:t>A7-A</w:t>
            </w:r>
          </w:p>
        </w:tc>
        <w:tc>
          <w:tcPr>
            <w:tcW w:type="dxa" w:w="1361"/>
          </w:tcPr>
          <w:p>
            <w:pPr>
              <w:spacing w:after="20"/>
            </w:pPr>
            <w:r/>
            <w:r>
              <w:rPr>
                <w:sz w:val="17"/>
              </w:rPr>
              <w:t>A · Mantener</w:t>
            </w:r>
          </w:p>
        </w:tc>
        <w:tc>
          <w:tcPr>
            <w:tcW w:type="dxa" w:w="4082"/>
          </w:tcPr>
          <w:p>
            <w:pPr>
              <w:spacing w:after="20"/>
            </w:pPr>
            <w:r/>
            <w:r>
              <w:rPr>
                <w:sz w:val="17"/>
              </w:rPr>
              <w:t>Renovación larga de HIS-NORTE; la deuda «dos sistemas vivos» se refinancia detrás del adaptador</w:t>
            </w:r>
          </w:p>
        </w:tc>
        <w:tc>
          <w:tcPr>
            <w:tcW w:type="dxa" w:w="907"/>
          </w:tcPr>
          <w:p>
            <w:pPr>
              <w:spacing w:after="20"/>
            </w:pPr>
            <w:r/>
            <w:r>
              <w:rPr>
                <w:sz w:val="17"/>
              </w:rPr>
              <w:t>19 a 36</w:t>
            </w:r>
          </w:p>
        </w:tc>
        <w:tc>
          <w:tcPr>
            <w:tcW w:type="dxa" w:w="567"/>
          </w:tcPr>
          <w:p>
            <w:pPr>
              <w:spacing w:after="20"/>
            </w:pPr>
            <w:r/>
            <w:r>
              <w:rPr>
                <w:sz w:val="17"/>
              </w:rPr>
              <w:t>6</w:t>
            </w:r>
          </w:p>
        </w:tc>
        <w:tc>
          <w:tcPr>
            <w:tcW w:type="dxa" w:w="737"/>
          </w:tcPr>
          <w:p>
            <w:pPr>
              <w:spacing w:after="20"/>
            </w:pPr>
            <w:r/>
            <w:r>
              <w:rPr>
                <w:sz w:val="17"/>
              </w:rPr>
              <w:t>Medio</w:t>
            </w:r>
          </w:p>
        </w:tc>
        <w:tc>
          <w:tcPr>
            <w:tcW w:type="dxa" w:w="737"/>
          </w:tcPr>
          <w:p>
            <w:pPr>
              <w:spacing w:after="20"/>
            </w:pPr>
            <w:r/>
            <w:r>
              <w:rPr>
                <w:sz w:val="17"/>
              </w:rPr>
              <w:t>Bajo</w:t>
            </w:r>
          </w:p>
        </w:tc>
      </w:tr>
      <w:tr>
        <w:tc>
          <w:tcPr>
            <w:tcW w:type="dxa" w:w="794"/>
          </w:tcPr>
          <w:p>
            <w:pPr>
              <w:spacing w:after="20"/>
            </w:pPr>
            <w:r/>
            <w:r>
              <w:rPr>
                <w:sz w:val="17"/>
              </w:rPr>
              <w:t>X5-A</w:t>
            </w:r>
          </w:p>
        </w:tc>
        <w:tc>
          <w:tcPr>
            <w:tcW w:type="dxa" w:w="1361"/>
          </w:tcPr>
          <w:p>
            <w:pPr>
              <w:spacing w:after="20"/>
            </w:pPr>
            <w:r/>
            <w:r>
              <w:rPr>
                <w:sz w:val="17"/>
              </w:rPr>
              <w:t>A · Mantener</w:t>
            </w:r>
          </w:p>
        </w:tc>
        <w:tc>
          <w:tcPr>
            <w:tcW w:type="dxa" w:w="4082"/>
          </w:tcPr>
          <w:p>
            <w:pPr>
              <w:spacing w:after="20"/>
            </w:pPr>
            <w:r/>
            <w:r>
              <w:rPr>
                <w:sz w:val="17"/>
              </w:rPr>
              <w:t>Eliminar la ventana dominical en HIS-CORE; HIS-NORTE depende del proveedor</w:t>
            </w:r>
          </w:p>
        </w:tc>
        <w:tc>
          <w:tcPr>
            <w:tcW w:type="dxa" w:w="907"/>
          </w:tcPr>
          <w:p>
            <w:pPr>
              <w:spacing w:after="20"/>
            </w:pPr>
            <w:r/>
            <w:r>
              <w:rPr>
                <w:sz w:val="17"/>
              </w:rPr>
              <w:t>24 a 36</w:t>
            </w:r>
          </w:p>
        </w:tc>
        <w:tc>
          <w:tcPr>
            <w:tcW w:type="dxa" w:w="567"/>
          </w:tcPr>
          <w:p>
            <w:pPr>
              <w:spacing w:after="20"/>
            </w:pPr>
            <w:r/>
            <w:r>
              <w:rPr>
                <w:sz w:val="17"/>
              </w:rPr>
              <w:t>5</w:t>
            </w:r>
          </w:p>
        </w:tc>
        <w:tc>
          <w:tcPr>
            <w:tcW w:type="dxa" w:w="737"/>
          </w:tcPr>
          <w:p>
            <w:pPr>
              <w:spacing w:after="20"/>
            </w:pPr>
            <w:r/>
            <w:r>
              <w:rPr>
                <w:sz w:val="17"/>
              </w:rPr>
              <w:t>Medio</w:t>
            </w:r>
          </w:p>
        </w:tc>
        <w:tc>
          <w:tcPr>
            <w:tcW w:type="dxa" w:w="737"/>
          </w:tcPr>
          <w:p>
            <w:pPr>
              <w:spacing w:after="20"/>
            </w:pPr>
            <w:r/>
            <w:r>
              <w:rPr>
                <w:sz w:val="17"/>
              </w:rPr>
              <w:t>Medio</w:t>
            </w:r>
          </w:p>
        </w:tc>
      </w:tr>
    </w:tbl>
    <w:p>
      <w:pPr>
        <w:spacing w:after="40"/>
      </w:pPr>
    </w:p>
    <w:p>
      <w:r>
        <w:rPr>
          <w:i/>
          <w:sz w:val="19"/>
        </w:rPr>
        <w:t>Tabla 11.</w:t>
      </w:r>
      <w:r>
        <w:rPr>
          <w:sz w:val="19"/>
        </w:rPr>
        <w:t xml:space="preserve"> Las dos ramas de T+2.</w:t>
      </w:r>
    </w:p>
    <w:p>
      <w:r>
        <w:rPr>
          <w:b/>
        </w:rPr>
        <w:t>Se recomienda preparar la rama B.</w:t>
      </w:r>
      <w:r>
        <w:t xml:space="preserve"> Con el plan de T+1, C1, C2 y C3 deberían cumplirse en el mes 18, y C4 probablemente también: la Unidad 2 estimó que convivir cuesta 150 horas-persona al mes (s). Pero la decisión se toma con los datos del mes 18, no con esta previsión: si una condición de entrada falla, la rama A es la respuesta correcta y no un fracaso del roadmap.</w:t>
      </w:r>
    </w:p>
    <w:p>
      <w:pPr>
        <w:pStyle w:val="Heading2"/>
      </w:pPr>
      <w:r>
        <w:t>5.6 Cómo se sabe si avanza</w:t>
      </w:r>
    </w:p>
    <w:p>
      <w:r>
        <w:t>El tablero del roadmap mide resultados, no porcentaje de avance. Los seis indicadores se suman a las cinco métricas de gobierno de la Unidad 3 (M1 a M5), que siguen midiendo si el ARB funciona y alimentan el nivel de capacidad de APO03 que la organización se propuso alcanzar (ISACA, 2018).</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568"/>
        <w:gridCol w:w="1568"/>
        <w:gridCol w:w="1568"/>
        <w:gridCol w:w="1568"/>
        <w:gridCol w:w="1568"/>
        <w:gridCol w:w="1568"/>
      </w:tblGrid>
      <w:tr>
        <w:trPr>
          <w:tblHeader w:val="true"/>
        </w:trPr>
        <w:tc>
          <w:tcPr>
            <w:tcW w:type="dxa" w:w="2494"/>
            <w:shd w:val="clear" w:color="auto" w:fill="DCE6F2"/>
          </w:tcPr>
          <w:p>
            <w:pPr>
              <w:spacing w:after="20"/>
            </w:pPr>
            <w:r/>
            <w:r>
              <w:rPr>
                <w:b/>
                <w:sz w:val="17"/>
              </w:rPr>
              <w:t>Indicador</w:t>
            </w:r>
          </w:p>
        </w:tc>
        <w:tc>
          <w:tcPr>
            <w:tcW w:type="dxa" w:w="1134"/>
            <w:shd w:val="clear" w:color="auto" w:fill="DCE6F2"/>
          </w:tcPr>
          <w:p>
            <w:pPr>
              <w:spacing w:after="20"/>
            </w:pPr>
            <w:r/>
            <w:r>
              <w:rPr>
                <w:b/>
                <w:sz w:val="17"/>
              </w:rPr>
              <w:t>Mes 0</w:t>
            </w:r>
          </w:p>
        </w:tc>
        <w:tc>
          <w:tcPr>
            <w:tcW w:type="dxa" w:w="1361"/>
            <w:shd w:val="clear" w:color="auto" w:fill="DCE6F2"/>
          </w:tcPr>
          <w:p>
            <w:pPr>
              <w:spacing w:after="20"/>
            </w:pPr>
            <w:r/>
            <w:r>
              <w:rPr>
                <w:b/>
                <w:sz w:val="17"/>
              </w:rPr>
              <w:t>Mes 6</w:t>
            </w:r>
          </w:p>
        </w:tc>
        <w:tc>
          <w:tcPr>
            <w:tcW w:type="dxa" w:w="1361"/>
            <w:shd w:val="clear" w:color="auto" w:fill="DCE6F2"/>
          </w:tcPr>
          <w:p>
            <w:pPr>
              <w:spacing w:after="20"/>
            </w:pPr>
            <w:r/>
            <w:r>
              <w:rPr>
                <w:b/>
                <w:sz w:val="17"/>
              </w:rPr>
              <w:t>Mes 18</w:t>
            </w:r>
          </w:p>
        </w:tc>
        <w:tc>
          <w:tcPr>
            <w:tcW w:type="dxa" w:w="1020"/>
            <w:shd w:val="clear" w:color="auto" w:fill="DCE6F2"/>
          </w:tcPr>
          <w:p>
            <w:pPr>
              <w:spacing w:after="20"/>
            </w:pPr>
            <w:r/>
            <w:r>
              <w:rPr>
                <w:b/>
                <w:sz w:val="17"/>
              </w:rPr>
              <w:t>Mes 36</w:t>
            </w:r>
          </w:p>
        </w:tc>
        <w:tc>
          <w:tcPr>
            <w:tcW w:type="dxa" w:w="1814"/>
            <w:shd w:val="clear" w:color="auto" w:fill="DCE6F2"/>
          </w:tcPr>
          <w:p>
            <w:pPr>
              <w:spacing w:after="20"/>
            </w:pPr>
            <w:r/>
            <w:r>
              <w:rPr>
                <w:b/>
                <w:sz w:val="17"/>
              </w:rPr>
              <w:t>Fuente</w:t>
            </w:r>
          </w:p>
        </w:tc>
      </w:tr>
      <w:tr>
        <w:tc>
          <w:tcPr>
            <w:tcW w:type="dxa" w:w="2494"/>
          </w:tcPr>
          <w:p>
            <w:pPr>
              <w:spacing w:after="20"/>
            </w:pPr>
            <w:r/>
            <w:r>
              <w:rPr>
                <w:sz w:val="17"/>
              </w:rPr>
              <w:t>Error de conciliación de identidad</w:t>
            </w:r>
          </w:p>
        </w:tc>
        <w:tc>
          <w:tcPr>
            <w:tcW w:type="dxa" w:w="1134"/>
          </w:tcPr>
          <w:p>
            <w:pPr>
              <w:spacing w:after="20"/>
            </w:pPr>
            <w:r/>
            <w:r>
              <w:rPr>
                <w:sz w:val="17"/>
              </w:rPr>
              <w:t>6 %</w:t>
            </w:r>
          </w:p>
        </w:tc>
        <w:tc>
          <w:tcPr>
            <w:tcW w:type="dxa" w:w="1361"/>
          </w:tcPr>
          <w:p>
            <w:pPr>
              <w:spacing w:after="20"/>
            </w:pPr>
            <w:r/>
            <w:r>
              <w:rPr>
                <w:sz w:val="17"/>
              </w:rPr>
              <w:t>≤ 3 % (sedes HIS-CORE)</w:t>
            </w:r>
          </w:p>
        </w:tc>
        <w:tc>
          <w:tcPr>
            <w:tcW w:type="dxa" w:w="1361"/>
          </w:tcPr>
          <w:p>
            <w:pPr>
              <w:spacing w:after="20"/>
            </w:pPr>
            <w:r/>
            <w:r>
              <w:rPr>
                <w:sz w:val="17"/>
              </w:rPr>
              <w:t>≤ 1 % (24 sedes)</w:t>
            </w:r>
          </w:p>
        </w:tc>
        <w:tc>
          <w:tcPr>
            <w:tcW w:type="dxa" w:w="1020"/>
          </w:tcPr>
          <w:p>
            <w:pPr>
              <w:spacing w:after="20"/>
            </w:pPr>
            <w:r/>
            <w:r>
              <w:rPr>
                <w:sz w:val="17"/>
              </w:rPr>
              <w:t>≤ 0,5 %</w:t>
            </w:r>
          </w:p>
        </w:tc>
        <w:tc>
          <w:tcPr>
            <w:tcW w:type="dxa" w:w="1814"/>
          </w:tcPr>
          <w:p>
            <w:pPr>
              <w:spacing w:after="20"/>
            </w:pPr>
            <w:r/>
            <w:r>
              <w:rPr>
                <w:sz w:val="17"/>
              </w:rPr>
              <w:t>Índice maestro</w:t>
            </w:r>
          </w:p>
        </w:tc>
      </w:tr>
      <w:tr>
        <w:tc>
          <w:tcPr>
            <w:tcW w:type="dxa" w:w="2494"/>
          </w:tcPr>
          <w:p>
            <w:pPr>
              <w:spacing w:after="20"/>
            </w:pPr>
            <w:r/>
            <w:r>
              <w:rPr>
                <w:sz w:val="17"/>
              </w:rPr>
              <w:t>Glosa inicial sobre lo radicado</w:t>
            </w:r>
          </w:p>
        </w:tc>
        <w:tc>
          <w:tcPr>
            <w:tcW w:type="dxa" w:w="1134"/>
          </w:tcPr>
          <w:p>
            <w:pPr>
              <w:spacing w:after="20"/>
            </w:pPr>
            <w:r/>
            <w:r>
              <w:rPr>
                <w:sz w:val="17"/>
              </w:rPr>
              <w:t>9,4 %</w:t>
            </w:r>
          </w:p>
        </w:tc>
        <w:tc>
          <w:tcPr>
            <w:tcW w:type="dxa" w:w="1361"/>
          </w:tcPr>
          <w:p>
            <w:pPr>
              <w:spacing w:after="20"/>
            </w:pPr>
            <w:r/>
            <w:r>
              <w:rPr>
                <w:sz w:val="17"/>
              </w:rPr>
              <w:t>9,0 %</w:t>
            </w:r>
          </w:p>
        </w:tc>
        <w:tc>
          <w:tcPr>
            <w:tcW w:type="dxa" w:w="1361"/>
          </w:tcPr>
          <w:p>
            <w:pPr>
              <w:spacing w:after="20"/>
            </w:pPr>
            <w:r/>
            <w:r>
              <w:rPr>
                <w:sz w:val="17"/>
              </w:rPr>
              <w:t>≤ 6,5 % (s)</w:t>
            </w:r>
          </w:p>
        </w:tc>
        <w:tc>
          <w:tcPr>
            <w:tcW w:type="dxa" w:w="1020"/>
          </w:tcPr>
          <w:p>
            <w:pPr>
              <w:spacing w:after="20"/>
            </w:pPr>
            <w:r/>
            <w:r>
              <w:rPr>
                <w:sz w:val="17"/>
              </w:rPr>
              <w:t>≤ 4 % (s)</w:t>
            </w:r>
          </w:p>
        </w:tc>
        <w:tc>
          <w:tcPr>
            <w:tcW w:type="dxa" w:w="1814"/>
          </w:tcPr>
          <w:p>
            <w:pPr>
              <w:spacing w:after="20"/>
            </w:pPr>
            <w:r/>
            <w:r>
              <w:rPr>
                <w:sz w:val="17"/>
              </w:rPr>
              <w:t>FACT-SALUD (desde D3)</w:t>
            </w:r>
          </w:p>
        </w:tc>
      </w:tr>
      <w:tr>
        <w:tc>
          <w:tcPr>
            <w:tcW w:type="dxa" w:w="2494"/>
          </w:tcPr>
          <w:p>
            <w:pPr>
              <w:spacing w:after="20"/>
            </w:pPr>
            <w:r/>
            <w:r>
              <w:rPr>
                <w:sz w:val="17"/>
              </w:rPr>
              <w:t>Interfaces bajo contrato (M3)</w:t>
            </w:r>
          </w:p>
        </w:tc>
        <w:tc>
          <w:tcPr>
            <w:tcW w:type="dxa" w:w="1134"/>
          </w:tcPr>
          <w:p>
            <w:pPr>
              <w:spacing w:after="20"/>
            </w:pPr>
            <w:r/>
            <w:r>
              <w:rPr>
                <w:sz w:val="17"/>
              </w:rPr>
              <w:t>11,8 %</w:t>
            </w:r>
          </w:p>
        </w:tc>
        <w:tc>
          <w:tcPr>
            <w:tcW w:type="dxa" w:w="1361"/>
          </w:tcPr>
          <w:p>
            <w:pPr>
              <w:spacing w:after="20"/>
            </w:pPr>
            <w:r/>
            <w:r>
              <w:rPr>
                <w:sz w:val="17"/>
              </w:rPr>
              <w:t>≥ 18 %</w:t>
            </w:r>
          </w:p>
        </w:tc>
        <w:tc>
          <w:tcPr>
            <w:tcW w:type="dxa" w:w="1361"/>
          </w:tcPr>
          <w:p>
            <w:pPr>
              <w:spacing w:after="20"/>
            </w:pPr>
            <w:r/>
            <w:r>
              <w:rPr>
                <w:sz w:val="17"/>
              </w:rPr>
              <w:t>≥ 35 %</w:t>
            </w:r>
          </w:p>
        </w:tc>
        <w:tc>
          <w:tcPr>
            <w:tcW w:type="dxa" w:w="1020"/>
          </w:tcPr>
          <w:p>
            <w:pPr>
              <w:spacing w:after="20"/>
            </w:pPr>
            <w:r/>
            <w:r>
              <w:rPr>
                <w:sz w:val="17"/>
              </w:rPr>
              <w:t>≥ 60 %</w:t>
            </w:r>
          </w:p>
        </w:tc>
        <w:tc>
          <w:tcPr>
            <w:tcW w:type="dxa" w:w="1814"/>
          </w:tcPr>
          <w:p>
            <w:pPr>
              <w:spacing w:after="20"/>
            </w:pPr>
            <w:r/>
            <w:r>
              <w:rPr>
                <w:sz w:val="17"/>
              </w:rPr>
              <w:t>Inventario de interfaces</w:t>
            </w:r>
          </w:p>
        </w:tc>
      </w:tr>
      <w:tr>
        <w:tc>
          <w:tcPr>
            <w:tcW w:type="dxa" w:w="2494"/>
          </w:tcPr>
          <w:p>
            <w:pPr>
              <w:spacing w:after="20"/>
            </w:pPr>
            <w:r/>
            <w:r>
              <w:rPr>
                <w:sz w:val="17"/>
              </w:rPr>
              <w:t>Personas que conocen HIS-CORE</w:t>
            </w:r>
          </w:p>
        </w:tc>
        <w:tc>
          <w:tcPr>
            <w:tcW w:type="dxa" w:w="1134"/>
          </w:tcPr>
          <w:p>
            <w:pPr>
              <w:spacing w:after="20"/>
            </w:pPr>
            <w:r/>
            <w:r>
              <w:rPr>
                <w:sz w:val="17"/>
              </w:rPr>
              <w:t>2</w:t>
            </w:r>
          </w:p>
        </w:tc>
        <w:tc>
          <w:tcPr>
            <w:tcW w:type="dxa" w:w="1361"/>
          </w:tcPr>
          <w:p>
            <w:pPr>
              <w:spacing w:after="20"/>
            </w:pPr>
            <w:r/>
            <w:r>
              <w:rPr>
                <w:sz w:val="17"/>
              </w:rPr>
              <w:t>2 (3 en el mes 10)</w:t>
            </w:r>
          </w:p>
        </w:tc>
        <w:tc>
          <w:tcPr>
            <w:tcW w:type="dxa" w:w="1361"/>
          </w:tcPr>
          <w:p>
            <w:pPr>
              <w:spacing w:after="20"/>
            </w:pPr>
            <w:r/>
            <w:r>
              <w:rPr>
                <w:sz w:val="17"/>
              </w:rPr>
              <w:t>3</w:t>
            </w:r>
          </w:p>
        </w:tc>
        <w:tc>
          <w:tcPr>
            <w:tcW w:type="dxa" w:w="1020"/>
          </w:tcPr>
          <w:p>
            <w:pPr>
              <w:spacing w:after="20"/>
            </w:pPr>
            <w:r/>
            <w:r>
              <w:rPr>
                <w:sz w:val="17"/>
              </w:rPr>
              <w:t>≥ 3</w:t>
            </w:r>
          </w:p>
        </w:tc>
        <w:tc>
          <w:tcPr>
            <w:tcW w:type="dxa" w:w="1814"/>
          </w:tcPr>
          <w:p>
            <w:pPr>
              <w:spacing w:after="20"/>
            </w:pPr>
            <w:r/>
            <w:r>
              <w:rPr>
                <w:sz w:val="17"/>
              </w:rPr>
              <w:t>Plan de transferencia</w:t>
            </w:r>
          </w:p>
        </w:tc>
      </w:tr>
      <w:tr>
        <w:tc>
          <w:tcPr>
            <w:tcW w:type="dxa" w:w="2494"/>
          </w:tcPr>
          <w:p>
            <w:pPr>
              <w:spacing w:after="20"/>
            </w:pPr>
            <w:r/>
            <w:r>
              <w:rPr>
                <w:sz w:val="17"/>
              </w:rPr>
              <w:t>Órdenes de laboratorio redigitadas</w:t>
            </w:r>
          </w:p>
        </w:tc>
        <w:tc>
          <w:tcPr>
            <w:tcW w:type="dxa" w:w="1134"/>
          </w:tcPr>
          <w:p>
            <w:pPr>
              <w:spacing w:after="20"/>
            </w:pPr>
            <w:r/>
            <w:r>
              <w:rPr>
                <w:sz w:val="17"/>
              </w:rPr>
              <w:t>100 % en 6 sedes</w:t>
            </w:r>
          </w:p>
        </w:tc>
        <w:tc>
          <w:tcPr>
            <w:tcW w:type="dxa" w:w="1361"/>
          </w:tcPr>
          <w:p>
            <w:pPr>
              <w:spacing w:after="20"/>
            </w:pPr>
            <w:r/>
            <w:r>
              <w:rPr>
                <w:sz w:val="17"/>
              </w:rPr>
              <w:t>100 %</w:t>
            </w:r>
          </w:p>
        </w:tc>
        <w:tc>
          <w:tcPr>
            <w:tcW w:type="dxa" w:w="1361"/>
          </w:tcPr>
          <w:p>
            <w:pPr>
              <w:spacing w:after="20"/>
            </w:pPr>
            <w:r/>
            <w:r>
              <w:rPr>
                <w:sz w:val="17"/>
              </w:rPr>
              <w:t>0 %</w:t>
            </w:r>
          </w:p>
        </w:tc>
        <w:tc>
          <w:tcPr>
            <w:tcW w:type="dxa" w:w="1020"/>
          </w:tcPr>
          <w:p>
            <w:pPr>
              <w:spacing w:after="20"/>
            </w:pPr>
            <w:r/>
            <w:r>
              <w:rPr>
                <w:sz w:val="17"/>
              </w:rPr>
              <w:t>0 %</w:t>
            </w:r>
          </w:p>
        </w:tc>
        <w:tc>
          <w:tcPr>
            <w:tcW w:type="dxa" w:w="1814"/>
          </w:tcPr>
          <w:p>
            <w:pPr>
              <w:spacing w:after="20"/>
            </w:pPr>
            <w:r/>
            <w:r>
              <w:rPr>
                <w:sz w:val="17"/>
              </w:rPr>
              <w:t>LIS-LAB</w:t>
            </w:r>
          </w:p>
        </w:tc>
      </w:tr>
      <w:tr>
        <w:tc>
          <w:tcPr>
            <w:tcW w:type="dxa" w:w="2494"/>
          </w:tcPr>
          <w:p>
            <w:pPr>
              <w:spacing w:after="20"/>
            </w:pPr>
            <w:r/>
            <w:r>
              <w:rPr>
                <w:sz w:val="17"/>
              </w:rPr>
              <w:t>Incidentes detectados por el sistema antes que por el usuario</w:t>
            </w:r>
          </w:p>
        </w:tc>
        <w:tc>
          <w:tcPr>
            <w:tcW w:type="dxa" w:w="1134"/>
          </w:tcPr>
          <w:p>
            <w:pPr>
              <w:spacing w:after="20"/>
            </w:pPr>
            <w:r/>
            <w:r>
              <w:rPr>
                <w:sz w:val="17"/>
              </w:rPr>
              <w:t>0 % (s)</w:t>
            </w:r>
          </w:p>
        </w:tc>
        <w:tc>
          <w:tcPr>
            <w:tcW w:type="dxa" w:w="1361"/>
          </w:tcPr>
          <w:p>
            <w:pPr>
              <w:spacing w:after="20"/>
            </w:pPr>
            <w:r/>
            <w:r>
              <w:rPr>
                <w:sz w:val="17"/>
              </w:rPr>
              <w:t>≥ 50 %</w:t>
            </w:r>
          </w:p>
        </w:tc>
        <w:tc>
          <w:tcPr>
            <w:tcW w:type="dxa" w:w="1361"/>
          </w:tcPr>
          <w:p>
            <w:pPr>
              <w:spacing w:after="20"/>
            </w:pPr>
            <w:r/>
            <w:r>
              <w:rPr>
                <w:sz w:val="17"/>
              </w:rPr>
              <w:t>≥ 80 %</w:t>
            </w:r>
          </w:p>
        </w:tc>
        <w:tc>
          <w:tcPr>
            <w:tcW w:type="dxa" w:w="1020"/>
          </w:tcPr>
          <w:p>
            <w:pPr>
              <w:spacing w:after="20"/>
            </w:pPr>
            <w:r/>
            <w:r>
              <w:rPr>
                <w:sz w:val="17"/>
              </w:rPr>
              <w:t>≥ 90 %</w:t>
            </w:r>
          </w:p>
        </w:tc>
        <w:tc>
          <w:tcPr>
            <w:tcW w:type="dxa" w:w="1814"/>
          </w:tcPr>
          <w:p>
            <w:pPr>
              <w:spacing w:after="20"/>
            </w:pPr>
            <w:r/>
            <w:r>
              <w:rPr>
                <w:sz w:val="17"/>
              </w:rPr>
              <w:t>Mesa de servicio</w:t>
            </w:r>
          </w:p>
        </w:tc>
      </w:tr>
    </w:tbl>
    <w:p>
      <w:pPr>
        <w:spacing w:after="40"/>
      </w:pPr>
    </w:p>
    <w:p>
      <w:r>
        <w:rPr>
          <w:i/>
          <w:sz w:val="19"/>
        </w:rPr>
        <w:t>Tabla 12.</w:t>
      </w:r>
      <w:r>
        <w:rPr>
          <w:sz w:val="19"/>
        </w:rPr>
        <w:t xml:space="preserve"> Indicadores del roadmap, con línea base y metas por horizonte. (s): supuesto declarado.</w:t>
      </w:r>
    </w:p>
    <w:p>
      <w:pPr>
        <w:pStyle w:val="Heading1"/>
      </w:pPr>
      <w:r>
        <w:t>6. Gestión del cambio</w:t>
      </w:r>
    </w:p>
    <w:tbl>
      <w:tblPr>
        <w:tblW w:type="auto" w:w="0"/>
        <w:tblLook w:firstColumn="1" w:firstRow="1" w:lastColumn="0" w:lastRow="0" w:noHBand="0" w:noVBand="1" w:val="04A0"/>
      </w:tblPr>
      <w:tblGrid>
        <w:gridCol w:w="9406"/>
      </w:tblGrid>
      <w:tr>
        <w:trPr>
          <w:cantSplit w:val="true"/>
        </w:trPr>
        <w:tc>
          <w:tcPr>
            <w:tcW w:type="dxa" w:w="9406"/>
            <w:shd w:val="clear" w:color="auto" w:fill="EEF3FA"/>
            <w:tcBorders>
              <w:top w:val="nil"/>
              <w:bottom w:val="nil"/>
              <w:right w:val="nil"/>
              <w:left w:val="single" w:sz="24" w:color="C2622C"/>
            </w:tcBorders>
          </w:tcPr>
          <w:p>
            <w:r>
              <w:rPr>
                <w:b/>
                <w:sz w:val="20"/>
              </w:rPr>
              <w:t>Qué hacer en esta sección.</w:t>
            </w:r>
            <w:r>
              <w:rPr>
                <w:sz w:val="20"/>
              </w:rPr>
              <w:t xml:space="preserve"> Identifiquen los grupos de interés afectados, qué pierden o temen, la resistencia que se espera de cada uno y las acciones de </w:t>
            </w:r>
            <w:r>
              <w:rPr>
                <w:b/>
                <w:sz w:val="20"/>
              </w:rPr>
              <w:t>comunicación</w:t>
            </w:r>
            <w:r>
              <w:rPr>
                <w:sz w:val="20"/>
              </w:rPr>
              <w:t xml:space="preserve"> y de </w:t>
            </w:r>
            <w:r>
              <w:rPr>
                <w:b/>
                <w:sz w:val="20"/>
              </w:rPr>
              <w:t>capacitación</w:t>
            </w:r>
            <w:r>
              <w:rPr>
                <w:sz w:val="20"/>
              </w:rPr>
              <w:t xml:space="preserve"> que proponen, con fecha y responsable. La resistencia no es un defecto de la gente: es información sobre lo que el cambio les cuesta. Si su organización tiene historia de cambios fallidos, la estrategia tiene que responder a esa historia.</w:t>
            </w:r>
          </w:p>
          <w:p>
            <w:r>
              <w:rPr>
                <w:b/>
                <w:sz w:val="19"/>
              </w:rPr>
              <w:t>Se califica en:</w:t>
            </w:r>
            <w:r>
              <w:rPr>
                <w:sz w:val="19"/>
              </w:rPr>
              <w:t xml:space="preserve"> Gestión del cambio y casos sectoriales (1,0) · </w:t>
            </w:r>
            <w:r>
              <w:rPr>
                <w:b/>
                <w:sz w:val="19"/>
              </w:rPr>
              <w:t>Se prepara con:</w:t>
            </w:r>
            <w:r>
              <w:rPr>
                <w:sz w:val="19"/>
              </w:rPr>
              <w:t xml:space="preserve"> F-34 · </w:t>
            </w:r>
            <w:r>
              <w:rPr>
                <w:b/>
                <w:sz w:val="19"/>
              </w:rPr>
              <w:t>Cuándo:</w:t>
            </w:r>
            <w:r>
              <w:rPr>
                <w:sz w:val="19"/>
              </w:rPr>
              <w:t xml:space="preserve"> fuera de clase.</w:t>
            </w:r>
          </w:p>
          <w:p>
            <w:r>
              <w:rPr>
                <w:i/>
                <w:sz w:val="19"/>
              </w:rPr>
              <w:t>Este recuadro es una ayuda para leer el ejemplo: no va en su informe.</w:t>
            </w:r>
          </w:p>
        </w:tc>
      </w:tr>
    </w:tbl>
    <w:p>
      <w:pPr>
        <w:spacing w:after="40"/>
      </w:pPr>
    </w:p>
    <w:p>
      <w:r>
        <w:t>La organización cerró dos programas sin cumplir su alcance, en 2016 y en 2021. El tercero no puede empezar con un lanzamiento, un nombre y una promesa a tres años. Esta estrategia usa el modelo de ocho pasos de Kotter (1996), pero invierte el orden en un punto: el sentido de urgencia no se construye con un discurso sino con el primer resultado visible del mes 4.</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1928"/>
            <w:shd w:val="clear" w:color="auto" w:fill="DCE6F2"/>
          </w:tcPr>
          <w:p>
            <w:pPr>
              <w:spacing w:after="20"/>
            </w:pPr>
            <w:r/>
            <w:r>
              <w:rPr>
                <w:b/>
                <w:sz w:val="17"/>
              </w:rPr>
              <w:t>Grupo</w:t>
            </w:r>
          </w:p>
        </w:tc>
        <w:tc>
          <w:tcPr>
            <w:tcW w:type="dxa" w:w="2494"/>
            <w:shd w:val="clear" w:color="auto" w:fill="DCE6F2"/>
          </w:tcPr>
          <w:p>
            <w:pPr>
              <w:spacing w:after="20"/>
            </w:pPr>
            <w:r/>
            <w:r>
              <w:rPr>
                <w:b/>
                <w:sz w:val="17"/>
              </w:rPr>
              <w:t>Qué pierde o teme</w:t>
            </w:r>
          </w:p>
        </w:tc>
        <w:tc>
          <w:tcPr>
            <w:tcW w:type="dxa" w:w="3061"/>
            <w:shd w:val="clear" w:color="auto" w:fill="DCE6F2"/>
          </w:tcPr>
          <w:p>
            <w:pPr>
              <w:spacing w:after="20"/>
            </w:pPr>
            <w:r/>
            <w:r>
              <w:rPr>
                <w:b/>
                <w:sz w:val="17"/>
              </w:rPr>
              <w:t>Resistencia esperada</w:t>
            </w:r>
          </w:p>
        </w:tc>
        <w:tc>
          <w:tcPr>
            <w:tcW w:type="dxa" w:w="1701"/>
            <w:shd w:val="clear" w:color="auto" w:fill="DCE6F2"/>
          </w:tcPr>
          <w:p>
            <w:pPr>
              <w:spacing w:after="20"/>
            </w:pPr>
            <w:r/>
            <w:r>
              <w:rPr>
                <w:b/>
                <w:sz w:val="17"/>
              </w:rPr>
              <w:t>Poder / interés</w:t>
            </w:r>
          </w:p>
        </w:tc>
      </w:tr>
      <w:tr>
        <w:tc>
          <w:tcPr>
            <w:tcW w:type="dxa" w:w="1928"/>
          </w:tcPr>
          <w:p>
            <w:pPr>
              <w:spacing w:after="20"/>
            </w:pPr>
            <w:r/>
            <w:r>
              <w:rPr>
                <w:b/>
                <w:sz w:val="17"/>
              </w:rPr>
              <w:t>Presidencia</w:t>
            </w:r>
          </w:p>
        </w:tc>
        <w:tc>
          <w:tcPr>
            <w:tcW w:type="dxa" w:w="2494"/>
          </w:tcPr>
          <w:p>
            <w:pPr>
              <w:spacing w:after="20"/>
            </w:pPr>
            <w:r/>
            <w:r>
              <w:rPr>
                <w:sz w:val="17"/>
              </w:rPr>
              <w:t>Que el plan «Andina 2029» parezca incumplido</w:t>
            </w:r>
          </w:p>
        </w:tc>
        <w:tc>
          <w:tcPr>
            <w:tcW w:type="dxa" w:w="3061"/>
          </w:tcPr>
          <w:p>
            <w:pPr>
              <w:spacing w:after="20"/>
            </w:pPr>
            <w:r/>
            <w:r>
              <w:rPr>
                <w:sz w:val="17"/>
              </w:rPr>
              <w:t>Presión por anunciar resultados antes de tenerlos</w:t>
            </w:r>
          </w:p>
        </w:tc>
        <w:tc>
          <w:tcPr>
            <w:tcW w:type="dxa" w:w="1701"/>
          </w:tcPr>
          <w:p>
            <w:pPr>
              <w:spacing w:after="20"/>
            </w:pPr>
            <w:r/>
            <w:r>
              <w:rPr>
                <w:sz w:val="17"/>
              </w:rPr>
              <w:t>Alto / Alto</w:t>
            </w:r>
          </w:p>
        </w:tc>
      </w:tr>
      <w:tr>
        <w:tc>
          <w:tcPr>
            <w:tcW w:type="dxa" w:w="1928"/>
          </w:tcPr>
          <w:p>
            <w:pPr>
              <w:spacing w:after="20"/>
            </w:pPr>
            <w:r/>
            <w:r>
              <w:rPr>
                <w:b/>
                <w:sz w:val="17"/>
              </w:rPr>
              <w:t>Dirección financiera</w:t>
            </w:r>
          </w:p>
        </w:tc>
        <w:tc>
          <w:tcPr>
            <w:tcW w:type="dxa" w:w="2494"/>
          </w:tcPr>
          <w:p>
            <w:pPr>
              <w:spacing w:after="20"/>
            </w:pPr>
            <w:r/>
            <w:r>
              <w:rPr>
                <w:sz w:val="17"/>
              </w:rPr>
              <w:t>Invertir sin retorno en el año fiscal</w:t>
            </w:r>
          </w:p>
        </w:tc>
        <w:tc>
          <w:tcPr>
            <w:tcW w:type="dxa" w:w="3061"/>
          </w:tcPr>
          <w:p>
            <w:pPr>
              <w:spacing w:after="20"/>
            </w:pPr>
            <w:r/>
            <w:r>
              <w:rPr>
                <w:sz w:val="17"/>
              </w:rPr>
              <w:t>Aprobar solo lo que muestra ahorro en 12 meses</w:t>
            </w:r>
          </w:p>
        </w:tc>
        <w:tc>
          <w:tcPr>
            <w:tcW w:type="dxa" w:w="1701"/>
          </w:tcPr>
          <w:p>
            <w:pPr>
              <w:spacing w:after="20"/>
            </w:pPr>
            <w:r/>
            <w:r>
              <w:rPr>
                <w:sz w:val="17"/>
              </w:rPr>
              <w:t>Alto / Alto</w:t>
            </w:r>
          </w:p>
        </w:tc>
      </w:tr>
      <w:tr>
        <w:tc>
          <w:tcPr>
            <w:tcW w:type="dxa" w:w="1928"/>
          </w:tcPr>
          <w:p>
            <w:pPr>
              <w:spacing w:after="20"/>
            </w:pPr>
            <w:r/>
            <w:r>
              <w:rPr>
                <w:b/>
                <w:sz w:val="17"/>
              </w:rPr>
              <w:t>Dirección médica</w:t>
            </w:r>
          </w:p>
        </w:tc>
        <w:tc>
          <w:tcPr>
            <w:tcW w:type="dxa" w:w="2494"/>
          </w:tcPr>
          <w:p>
            <w:pPr>
              <w:spacing w:after="20"/>
            </w:pPr>
            <w:r/>
            <w:r>
              <w:rPr>
                <w:sz w:val="17"/>
              </w:rPr>
              <w:t>Interrupciones del acto clínico</w:t>
            </w:r>
          </w:p>
        </w:tc>
        <w:tc>
          <w:tcPr>
            <w:tcW w:type="dxa" w:w="3061"/>
          </w:tcPr>
          <w:p>
            <w:pPr>
              <w:spacing w:after="20"/>
            </w:pPr>
            <w:r/>
            <w:r>
              <w:rPr>
                <w:sz w:val="17"/>
              </w:rPr>
              <w:t>Negar ventanas de corte para las seis sedes</w:t>
            </w:r>
          </w:p>
        </w:tc>
        <w:tc>
          <w:tcPr>
            <w:tcW w:type="dxa" w:w="1701"/>
          </w:tcPr>
          <w:p>
            <w:pPr>
              <w:spacing w:after="20"/>
            </w:pPr>
            <w:r/>
            <w:r>
              <w:rPr>
                <w:sz w:val="17"/>
              </w:rPr>
              <w:t>Alto / Medio</w:t>
            </w:r>
          </w:p>
        </w:tc>
      </w:tr>
      <w:tr>
        <w:tc>
          <w:tcPr>
            <w:tcW w:type="dxa" w:w="1928"/>
          </w:tcPr>
          <w:p>
            <w:pPr>
              <w:spacing w:after="20"/>
            </w:pPr>
            <w:r/>
            <w:r>
              <w:rPr>
                <w:b/>
                <w:sz w:val="17"/>
              </w:rPr>
              <w:t>Dirección de operaciones</w:t>
            </w:r>
          </w:p>
        </w:tc>
        <w:tc>
          <w:tcPr>
            <w:tcW w:type="dxa" w:w="2494"/>
          </w:tcPr>
          <w:p>
            <w:pPr>
              <w:spacing w:after="20"/>
            </w:pPr>
            <w:r/>
            <w:r>
              <w:rPr>
                <w:sz w:val="17"/>
              </w:rPr>
              <w:t>Parar la operación de 24 sedes</w:t>
            </w:r>
          </w:p>
        </w:tc>
        <w:tc>
          <w:tcPr>
            <w:tcW w:type="dxa" w:w="3061"/>
          </w:tcPr>
          <w:p>
            <w:pPr>
              <w:spacing w:after="20"/>
            </w:pPr>
            <w:r/>
            <w:r>
              <w:rPr>
                <w:sz w:val="17"/>
              </w:rPr>
              <w:t>Aplazar oleadas en temporada alta</w:t>
            </w:r>
          </w:p>
        </w:tc>
        <w:tc>
          <w:tcPr>
            <w:tcW w:type="dxa" w:w="1701"/>
          </w:tcPr>
          <w:p>
            <w:pPr>
              <w:spacing w:after="20"/>
            </w:pPr>
            <w:r/>
            <w:r>
              <w:rPr>
                <w:sz w:val="17"/>
              </w:rPr>
              <w:t>Alto / Alto</w:t>
            </w:r>
          </w:p>
        </w:tc>
      </w:tr>
      <w:tr>
        <w:tc>
          <w:tcPr>
            <w:tcW w:type="dxa" w:w="1928"/>
          </w:tcPr>
          <w:p>
            <w:pPr>
              <w:spacing w:after="20"/>
            </w:pPr>
            <w:r/>
            <w:r>
              <w:rPr>
                <w:b/>
                <w:sz w:val="17"/>
              </w:rPr>
              <w:t>Líderes de las 6 sedes del norte</w:t>
            </w:r>
          </w:p>
        </w:tc>
        <w:tc>
          <w:tcPr>
            <w:tcW w:type="dxa" w:w="2494"/>
          </w:tcPr>
          <w:p>
            <w:pPr>
              <w:spacing w:after="20"/>
            </w:pPr>
            <w:r/>
            <w:r>
              <w:rPr>
                <w:sz w:val="17"/>
              </w:rPr>
              <w:t>Su sistema, su proceso y su autonomía</w:t>
            </w:r>
          </w:p>
        </w:tc>
        <w:tc>
          <w:tcPr>
            <w:tcW w:type="dxa" w:w="3061"/>
          </w:tcPr>
          <w:p>
            <w:pPr>
              <w:spacing w:after="20"/>
            </w:pPr>
            <w:r/>
            <w:r>
              <w:rPr>
                <w:sz w:val="17"/>
              </w:rPr>
              <w:t>«Así lo hacemos aquí y funciona»; datos incompletos en la depuración</w:t>
            </w:r>
          </w:p>
        </w:tc>
        <w:tc>
          <w:tcPr>
            <w:tcW w:type="dxa" w:w="1701"/>
          </w:tcPr>
          <w:p>
            <w:pPr>
              <w:spacing w:after="20"/>
            </w:pPr>
            <w:r/>
            <w:r>
              <w:rPr>
                <w:sz w:val="17"/>
              </w:rPr>
              <w:t>Medio / Alto</w:t>
            </w:r>
          </w:p>
        </w:tc>
      </w:tr>
      <w:tr>
        <w:tc>
          <w:tcPr>
            <w:tcW w:type="dxa" w:w="1928"/>
          </w:tcPr>
          <w:p>
            <w:pPr>
              <w:spacing w:after="20"/>
            </w:pPr>
            <w:r/>
            <w:r>
              <w:rPr>
                <w:b/>
                <w:sz w:val="17"/>
              </w:rPr>
              <w:t>Personal de admisión y las 2 personas de la carga manual</w:t>
            </w:r>
          </w:p>
        </w:tc>
        <w:tc>
          <w:tcPr>
            <w:tcW w:type="dxa" w:w="2494"/>
          </w:tcPr>
          <w:p>
            <w:pPr>
              <w:spacing w:after="20"/>
            </w:pPr>
            <w:r/>
            <w:r>
              <w:rPr>
                <w:sz w:val="17"/>
              </w:rPr>
              <w:t>Su tarea diaria desaparece o cambia</w:t>
            </w:r>
          </w:p>
        </w:tc>
        <w:tc>
          <w:tcPr>
            <w:tcW w:type="dxa" w:w="3061"/>
          </w:tcPr>
          <w:p>
            <w:pPr>
              <w:spacing w:after="20"/>
            </w:pPr>
            <w:r/>
            <w:r>
              <w:rPr>
                <w:sz w:val="17"/>
              </w:rPr>
              <w:t>Seguir conciliando «por si acaso»</w:t>
            </w:r>
          </w:p>
        </w:tc>
        <w:tc>
          <w:tcPr>
            <w:tcW w:type="dxa" w:w="1701"/>
          </w:tcPr>
          <w:p>
            <w:pPr>
              <w:spacing w:after="20"/>
            </w:pPr>
            <w:r/>
            <w:r>
              <w:rPr>
                <w:sz w:val="17"/>
              </w:rPr>
              <w:t>Bajo / Alto</w:t>
            </w:r>
          </w:p>
        </w:tc>
      </w:tr>
      <w:tr>
        <w:tc>
          <w:tcPr>
            <w:tcW w:type="dxa" w:w="1928"/>
          </w:tcPr>
          <w:p>
            <w:pPr>
              <w:spacing w:after="20"/>
            </w:pPr>
            <w:r/>
            <w:r>
              <w:rPr>
                <w:b/>
                <w:sz w:val="17"/>
              </w:rPr>
              <w:t>Gerencia de laboratorio</w:t>
            </w:r>
          </w:p>
        </w:tc>
        <w:tc>
          <w:tcPr>
            <w:tcW w:type="dxa" w:w="2494"/>
          </w:tcPr>
          <w:p>
            <w:pPr>
              <w:spacing w:after="20"/>
            </w:pPr>
            <w:r/>
            <w:r>
              <w:rPr>
                <w:sz w:val="17"/>
              </w:rPr>
              <w:t>Perder velocidad comercial frente al ritmo de la red</w:t>
            </w:r>
          </w:p>
        </w:tc>
        <w:tc>
          <w:tcPr>
            <w:tcW w:type="dxa" w:w="3061"/>
          </w:tcPr>
          <w:p>
            <w:pPr>
              <w:spacing w:after="20"/>
            </w:pPr>
            <w:r/>
            <w:r>
              <w:rPr>
                <w:sz w:val="17"/>
              </w:rPr>
              <w:t>Seguir construyendo por fuera de TI</w:t>
            </w:r>
          </w:p>
        </w:tc>
        <w:tc>
          <w:tcPr>
            <w:tcW w:type="dxa" w:w="1701"/>
          </w:tcPr>
          <w:p>
            <w:pPr>
              <w:spacing w:after="20"/>
            </w:pPr>
            <w:r/>
            <w:r>
              <w:rPr>
                <w:sz w:val="17"/>
              </w:rPr>
              <w:t>Medio / Alto</w:t>
            </w:r>
          </w:p>
        </w:tc>
      </w:tr>
      <w:tr>
        <w:tc>
          <w:tcPr>
            <w:tcW w:type="dxa" w:w="1928"/>
          </w:tcPr>
          <w:p>
            <w:pPr>
              <w:spacing w:after="20"/>
            </w:pPr>
            <w:r/>
            <w:r>
              <w:rPr>
                <w:b/>
                <w:sz w:val="17"/>
              </w:rPr>
              <w:t>Desarrolladores de HIS-CORE</w:t>
            </w:r>
          </w:p>
        </w:tc>
        <w:tc>
          <w:tcPr>
            <w:tcW w:type="dxa" w:w="2494"/>
          </w:tcPr>
          <w:p>
            <w:pPr>
              <w:spacing w:after="20"/>
            </w:pPr>
            <w:r/>
            <w:r>
              <w:rPr>
                <w:sz w:val="17"/>
              </w:rPr>
              <w:t>Perder el valor de ser los únicos que saben</w:t>
            </w:r>
          </w:p>
        </w:tc>
        <w:tc>
          <w:tcPr>
            <w:tcW w:type="dxa" w:w="3061"/>
          </w:tcPr>
          <w:p>
            <w:pPr>
              <w:spacing w:after="20"/>
            </w:pPr>
            <w:r/>
            <w:r>
              <w:rPr>
                <w:sz w:val="17"/>
              </w:rPr>
              <w:t>Transferencia lenta o incompleta</w:t>
            </w:r>
          </w:p>
        </w:tc>
        <w:tc>
          <w:tcPr>
            <w:tcW w:type="dxa" w:w="1701"/>
          </w:tcPr>
          <w:p>
            <w:pPr>
              <w:spacing w:after="20"/>
            </w:pPr>
            <w:r/>
            <w:r>
              <w:rPr>
                <w:sz w:val="17"/>
              </w:rPr>
              <w:t>Medio / Medio</w:t>
            </w:r>
          </w:p>
        </w:tc>
      </w:tr>
      <w:tr>
        <w:tc>
          <w:tcPr>
            <w:tcW w:type="dxa" w:w="1928"/>
          </w:tcPr>
          <w:p>
            <w:pPr>
              <w:spacing w:after="20"/>
            </w:pPr>
            <w:r/>
            <w:r>
              <w:rPr>
                <w:b/>
                <w:sz w:val="17"/>
              </w:rPr>
              <w:t>Aseguradores</w:t>
            </w:r>
          </w:p>
        </w:tc>
        <w:tc>
          <w:tcPr>
            <w:tcW w:type="dxa" w:w="2494"/>
          </w:tcPr>
          <w:p>
            <w:pPr>
              <w:spacing w:after="20"/>
            </w:pPr>
            <w:r/>
            <w:r>
              <w:rPr>
                <w:sz w:val="17"/>
              </w:rPr>
              <w:t>Cambios de formato y plazos</w:t>
            </w:r>
          </w:p>
        </w:tc>
        <w:tc>
          <w:tcPr>
            <w:tcW w:type="dxa" w:w="3061"/>
          </w:tcPr>
          <w:p>
            <w:pPr>
              <w:spacing w:after="20"/>
            </w:pPr>
            <w:r/>
            <w:r>
              <w:rPr>
                <w:sz w:val="17"/>
              </w:rPr>
              <w:t>Rechazar radicaciones durante la transición</w:t>
            </w:r>
          </w:p>
        </w:tc>
        <w:tc>
          <w:tcPr>
            <w:tcW w:type="dxa" w:w="1701"/>
          </w:tcPr>
          <w:p>
            <w:pPr>
              <w:spacing w:after="20"/>
            </w:pPr>
            <w:r/>
            <w:r>
              <w:rPr>
                <w:sz w:val="17"/>
              </w:rPr>
              <w:t>Alto / Bajo</w:t>
            </w:r>
          </w:p>
        </w:tc>
      </w:tr>
    </w:tbl>
    <w:p>
      <w:pPr>
        <w:spacing w:after="40"/>
      </w:pPr>
    </w:p>
    <w:p>
      <w:r>
        <w:rPr>
          <w:i/>
          <w:sz w:val="19"/>
        </w:rPr>
        <w:t>Tabla 13.</w:t>
      </w:r>
      <w:r>
        <w:rPr>
          <w:sz w:val="19"/>
        </w:rPr>
        <w:t xml:space="preserve"> Grupos de interés y resistencias. Los grupos y sus frases son los de Vega Fernández (2026, §4).</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1701"/>
            <w:shd w:val="clear" w:color="auto" w:fill="DCE6F2"/>
          </w:tcPr>
          <w:p>
            <w:pPr>
              <w:spacing w:after="20"/>
            </w:pPr>
            <w:r/>
            <w:r>
              <w:rPr>
                <w:b/>
                <w:sz w:val="17"/>
              </w:rPr>
              <w:t>Grupo</w:t>
            </w:r>
          </w:p>
        </w:tc>
        <w:tc>
          <w:tcPr>
            <w:tcW w:type="dxa" w:w="3061"/>
            <w:shd w:val="clear" w:color="auto" w:fill="DCE6F2"/>
          </w:tcPr>
          <w:p>
            <w:pPr>
              <w:spacing w:after="20"/>
            </w:pPr>
            <w:r/>
            <w:r>
              <w:rPr>
                <w:b/>
                <w:sz w:val="17"/>
              </w:rPr>
              <w:t>Comunicación</w:t>
            </w:r>
          </w:p>
        </w:tc>
        <w:tc>
          <w:tcPr>
            <w:tcW w:type="dxa" w:w="2154"/>
            <w:shd w:val="clear" w:color="auto" w:fill="DCE6F2"/>
          </w:tcPr>
          <w:p>
            <w:pPr>
              <w:spacing w:after="20"/>
            </w:pPr>
            <w:r/>
            <w:r>
              <w:rPr>
                <w:b/>
                <w:sz w:val="17"/>
              </w:rPr>
              <w:t>Capacitación</w:t>
            </w:r>
          </w:p>
        </w:tc>
        <w:tc>
          <w:tcPr>
            <w:tcW w:type="dxa" w:w="1020"/>
            <w:shd w:val="clear" w:color="auto" w:fill="DCE6F2"/>
          </w:tcPr>
          <w:p>
            <w:pPr>
              <w:spacing w:after="20"/>
            </w:pPr>
            <w:r/>
            <w:r>
              <w:rPr>
                <w:b/>
                <w:sz w:val="17"/>
              </w:rPr>
              <w:t>Cuándo</w:t>
            </w:r>
          </w:p>
        </w:tc>
        <w:tc>
          <w:tcPr>
            <w:tcW w:type="dxa" w:w="1247"/>
            <w:shd w:val="clear" w:color="auto" w:fill="DCE6F2"/>
          </w:tcPr>
          <w:p>
            <w:pPr>
              <w:spacing w:after="20"/>
            </w:pPr>
            <w:r/>
            <w:r>
              <w:rPr>
                <w:b/>
                <w:sz w:val="17"/>
              </w:rPr>
              <w:t>Responsable</w:t>
            </w:r>
          </w:p>
        </w:tc>
      </w:tr>
      <w:tr>
        <w:tc>
          <w:tcPr>
            <w:tcW w:type="dxa" w:w="1701"/>
          </w:tcPr>
          <w:p>
            <w:pPr>
              <w:spacing w:after="20"/>
            </w:pPr>
            <w:r/>
            <w:r>
              <w:rPr>
                <w:b/>
                <w:sz w:val="17"/>
              </w:rPr>
              <w:t>Presidencia</w:t>
            </w:r>
          </w:p>
        </w:tc>
        <w:tc>
          <w:tcPr>
            <w:tcW w:type="dxa" w:w="3061"/>
          </w:tcPr>
          <w:p>
            <w:pPr>
              <w:spacing w:after="20"/>
            </w:pPr>
            <w:r/>
            <w:r>
              <w:rPr>
                <w:sz w:val="17"/>
              </w:rPr>
              <w:t>Informe trimestral de una página con los hitos cumplidos, no con el avance porcentual</w:t>
            </w:r>
          </w:p>
        </w:tc>
        <w:tc>
          <w:tcPr>
            <w:tcW w:type="dxa" w:w="2154"/>
          </w:tcPr>
          <w:p>
            <w:pPr>
              <w:spacing w:after="20"/>
            </w:pPr>
            <w:r/>
            <w:r>
              <w:rPr>
                <w:sz w:val="17"/>
              </w:rPr>
              <w:t>—</w:t>
            </w:r>
          </w:p>
        </w:tc>
        <w:tc>
          <w:tcPr>
            <w:tcW w:type="dxa" w:w="1020"/>
          </w:tcPr>
          <w:p>
            <w:pPr>
              <w:spacing w:after="20"/>
            </w:pPr>
            <w:r/>
            <w:r>
              <w:rPr>
                <w:sz w:val="17"/>
              </w:rPr>
              <w:t>Trimestral</w:t>
            </w:r>
          </w:p>
        </w:tc>
        <w:tc>
          <w:tcPr>
            <w:tcW w:type="dxa" w:w="1247"/>
          </w:tcPr>
          <w:p>
            <w:pPr>
              <w:spacing w:after="20"/>
            </w:pPr>
            <w:r/>
            <w:r>
              <w:rPr>
                <w:sz w:val="17"/>
              </w:rPr>
              <w:t>CIO</w:t>
            </w:r>
          </w:p>
        </w:tc>
      </w:tr>
      <w:tr>
        <w:tc>
          <w:tcPr>
            <w:tcW w:type="dxa" w:w="1701"/>
          </w:tcPr>
          <w:p>
            <w:pPr>
              <w:spacing w:after="20"/>
            </w:pPr>
            <w:r/>
            <w:r>
              <w:rPr>
                <w:b/>
                <w:sz w:val="17"/>
              </w:rPr>
              <w:t>Dirección financiera</w:t>
            </w:r>
          </w:p>
        </w:tc>
        <w:tc>
          <w:tcPr>
            <w:tcW w:type="dxa" w:w="3061"/>
          </w:tcPr>
          <w:p>
            <w:pPr>
              <w:spacing w:after="20"/>
            </w:pPr>
            <w:r/>
            <w:r>
              <w:rPr>
                <w:sz w:val="17"/>
              </w:rPr>
              <w:t>Tablero de glosa desde D3; cada tramo se aprueba contra el hito anterior</w:t>
            </w:r>
          </w:p>
        </w:tc>
        <w:tc>
          <w:tcPr>
            <w:tcW w:type="dxa" w:w="2154"/>
          </w:tcPr>
          <w:p>
            <w:pPr>
              <w:spacing w:after="20"/>
            </w:pPr>
            <w:r/>
            <w:r>
              <w:rPr>
                <w:sz w:val="17"/>
              </w:rPr>
              <w:t>—</w:t>
            </w:r>
          </w:p>
        </w:tc>
        <w:tc>
          <w:tcPr>
            <w:tcW w:type="dxa" w:w="1020"/>
          </w:tcPr>
          <w:p>
            <w:pPr>
              <w:spacing w:after="20"/>
            </w:pPr>
            <w:r/>
            <w:r>
              <w:rPr>
                <w:sz w:val="17"/>
              </w:rPr>
              <w:t>Antes de cada tramo</w:t>
            </w:r>
          </w:p>
        </w:tc>
        <w:tc>
          <w:tcPr>
            <w:tcW w:type="dxa" w:w="1247"/>
          </w:tcPr>
          <w:p>
            <w:pPr>
              <w:spacing w:after="20"/>
            </w:pPr>
            <w:r/>
            <w:r>
              <w:rPr>
                <w:sz w:val="17"/>
              </w:rPr>
              <w:t>CIO</w:t>
            </w:r>
          </w:p>
        </w:tc>
      </w:tr>
      <w:tr>
        <w:tc>
          <w:tcPr>
            <w:tcW w:type="dxa" w:w="1701"/>
          </w:tcPr>
          <w:p>
            <w:pPr>
              <w:spacing w:after="20"/>
            </w:pPr>
            <w:r/>
            <w:r>
              <w:rPr>
                <w:b/>
                <w:sz w:val="17"/>
              </w:rPr>
              <w:t>Dirección médica</w:t>
            </w:r>
          </w:p>
        </w:tc>
        <w:tc>
          <w:tcPr>
            <w:tcW w:type="dxa" w:w="3061"/>
          </w:tcPr>
          <w:p>
            <w:pPr>
              <w:spacing w:after="20"/>
            </w:pPr>
            <w:r/>
            <w:r>
              <w:rPr>
                <w:sz w:val="17"/>
              </w:rPr>
              <w:t>El representante clínico del ARB firma cada ventana; modo degradado probado antes (T3)</w:t>
            </w:r>
          </w:p>
        </w:tc>
        <w:tc>
          <w:tcPr>
            <w:tcW w:type="dxa" w:w="2154"/>
          </w:tcPr>
          <w:p>
            <w:pPr>
              <w:spacing w:after="20"/>
            </w:pPr>
            <w:r/>
            <w:r>
              <w:rPr>
                <w:sz w:val="17"/>
              </w:rPr>
              <w:t>Simulacro de operación degradada con urgencias</w:t>
            </w:r>
          </w:p>
        </w:tc>
        <w:tc>
          <w:tcPr>
            <w:tcW w:type="dxa" w:w="1020"/>
          </w:tcPr>
          <w:p>
            <w:pPr>
              <w:spacing w:after="20"/>
            </w:pPr>
            <w:r/>
            <w:r>
              <w:rPr>
                <w:sz w:val="17"/>
              </w:rPr>
              <w:t>Mes 10 a 12</w:t>
            </w:r>
          </w:p>
        </w:tc>
        <w:tc>
          <w:tcPr>
            <w:tcW w:type="dxa" w:w="1247"/>
          </w:tcPr>
          <w:p>
            <w:pPr>
              <w:spacing w:after="20"/>
            </w:pPr>
            <w:r/>
            <w:r>
              <w:rPr>
                <w:sz w:val="17"/>
              </w:rPr>
              <w:t>Representante clínico del ARB</w:t>
            </w:r>
          </w:p>
        </w:tc>
      </w:tr>
      <w:tr>
        <w:tc>
          <w:tcPr>
            <w:tcW w:type="dxa" w:w="1701"/>
          </w:tcPr>
          <w:p>
            <w:pPr>
              <w:spacing w:after="20"/>
            </w:pPr>
            <w:r/>
            <w:r>
              <w:rPr>
                <w:b/>
                <w:sz w:val="17"/>
              </w:rPr>
              <w:t>Dirección de operaciones</w:t>
            </w:r>
          </w:p>
        </w:tc>
        <w:tc>
          <w:tcPr>
            <w:tcW w:type="dxa" w:w="3061"/>
          </w:tcPr>
          <w:p>
            <w:pPr>
              <w:spacing w:after="20"/>
            </w:pPr>
            <w:r/>
            <w:r>
              <w:rPr>
                <w:sz w:val="17"/>
              </w:rPr>
              <w:t>Calendario de oleadas acordado a 6 meses vista</w:t>
            </w:r>
          </w:p>
        </w:tc>
        <w:tc>
          <w:tcPr>
            <w:tcW w:type="dxa" w:w="2154"/>
          </w:tcPr>
          <w:p>
            <w:pPr>
              <w:spacing w:after="20"/>
            </w:pPr>
            <w:r/>
            <w:r>
              <w:rPr>
                <w:sz w:val="17"/>
              </w:rPr>
              <w:t>—</w:t>
            </w:r>
          </w:p>
        </w:tc>
        <w:tc>
          <w:tcPr>
            <w:tcW w:type="dxa" w:w="1020"/>
          </w:tcPr>
          <w:p>
            <w:pPr>
              <w:spacing w:after="20"/>
            </w:pPr>
            <w:r/>
            <w:r>
              <w:rPr>
                <w:sz w:val="17"/>
              </w:rPr>
              <w:t>Desde el mes 6</w:t>
            </w:r>
          </w:p>
        </w:tc>
        <w:tc>
          <w:tcPr>
            <w:tcW w:type="dxa" w:w="1247"/>
          </w:tcPr>
          <w:p>
            <w:pPr>
              <w:spacing w:after="20"/>
            </w:pPr>
            <w:r/>
            <w:r>
              <w:rPr>
                <w:sz w:val="17"/>
              </w:rPr>
              <w:t>Arquitecto líder</w:t>
            </w:r>
          </w:p>
        </w:tc>
      </w:tr>
      <w:tr>
        <w:tc>
          <w:tcPr>
            <w:tcW w:type="dxa" w:w="1701"/>
          </w:tcPr>
          <w:p>
            <w:pPr>
              <w:spacing w:after="20"/>
            </w:pPr>
            <w:r/>
            <w:r>
              <w:rPr>
                <w:b/>
                <w:sz w:val="17"/>
              </w:rPr>
              <w:t>Líderes de las 6 sedes del norte</w:t>
            </w:r>
          </w:p>
        </w:tc>
        <w:tc>
          <w:tcPr>
            <w:tcW w:type="dxa" w:w="3061"/>
          </w:tcPr>
          <w:p>
            <w:pPr>
              <w:spacing w:after="20"/>
            </w:pPr>
            <w:r/>
            <w:r>
              <w:rPr>
                <w:sz w:val="17"/>
              </w:rPr>
              <w:t>Dos líderes del norte en el diseño de la admisión con identidad verificada</w:t>
            </w:r>
          </w:p>
        </w:tc>
        <w:tc>
          <w:tcPr>
            <w:tcW w:type="dxa" w:w="2154"/>
          </w:tcPr>
          <w:p>
            <w:pPr>
              <w:spacing w:after="20"/>
            </w:pPr>
            <w:r/>
            <w:r>
              <w:rPr>
                <w:sz w:val="17"/>
              </w:rPr>
              <w:t>Admisión con índice maestro: taller por sede, con usuarios clave que capacitan a sus pares</w:t>
            </w:r>
          </w:p>
        </w:tc>
        <w:tc>
          <w:tcPr>
            <w:tcW w:type="dxa" w:w="1020"/>
          </w:tcPr>
          <w:p>
            <w:pPr>
              <w:spacing w:after="20"/>
            </w:pPr>
            <w:r/>
            <w:r>
              <w:rPr>
                <w:sz w:val="17"/>
              </w:rPr>
              <w:t>Mes 7 a 16</w:t>
            </w:r>
          </w:p>
        </w:tc>
        <w:tc>
          <w:tcPr>
            <w:tcW w:type="dxa" w:w="1247"/>
          </w:tcPr>
          <w:p>
            <w:pPr>
              <w:spacing w:after="20"/>
            </w:pPr>
            <w:r/>
            <w:r>
              <w:rPr>
                <w:sz w:val="17"/>
              </w:rPr>
              <w:t>Dirección de operaciones</w:t>
            </w:r>
          </w:p>
        </w:tc>
      </w:tr>
      <w:tr>
        <w:tc>
          <w:tcPr>
            <w:tcW w:type="dxa" w:w="1701"/>
          </w:tcPr>
          <w:p>
            <w:pPr>
              <w:spacing w:after="20"/>
            </w:pPr>
            <w:r/>
            <w:r>
              <w:rPr>
                <w:b/>
                <w:sz w:val="17"/>
              </w:rPr>
              <w:t>Personal de admisión y las 2 personas de la carga manual</w:t>
            </w:r>
          </w:p>
        </w:tc>
        <w:tc>
          <w:tcPr>
            <w:tcW w:type="dxa" w:w="3061"/>
          </w:tcPr>
          <w:p>
            <w:pPr>
              <w:spacing w:after="20"/>
            </w:pPr>
            <w:r/>
            <w:r>
              <w:rPr>
                <w:sz w:val="17"/>
              </w:rPr>
              <w:t>Se dice desde el principio qué pasa con su trabajo: pasan a calidad del dato del ciclo de ingresos</w:t>
            </w:r>
          </w:p>
        </w:tc>
        <w:tc>
          <w:tcPr>
            <w:tcW w:type="dxa" w:w="2154"/>
          </w:tcPr>
          <w:p>
            <w:pPr>
              <w:spacing w:after="20"/>
            </w:pPr>
            <w:r/>
            <w:r>
              <w:rPr>
                <w:sz w:val="17"/>
              </w:rPr>
              <w:t>Calidad del dato y gestión de glosa en FACT-SALUD</w:t>
            </w:r>
          </w:p>
        </w:tc>
        <w:tc>
          <w:tcPr>
            <w:tcW w:type="dxa" w:w="1020"/>
          </w:tcPr>
          <w:p>
            <w:pPr>
              <w:spacing w:after="20"/>
            </w:pPr>
            <w:r/>
            <w:r>
              <w:rPr>
                <w:sz w:val="17"/>
              </w:rPr>
              <w:t>Mes 7 a 15</w:t>
            </w:r>
          </w:p>
        </w:tc>
        <w:tc>
          <w:tcPr>
            <w:tcW w:type="dxa" w:w="1247"/>
          </w:tcPr>
          <w:p>
            <w:pPr>
              <w:spacing w:after="20"/>
            </w:pPr>
            <w:r/>
            <w:r>
              <w:rPr>
                <w:sz w:val="17"/>
              </w:rPr>
              <w:t>Dirección financiera</w:t>
            </w:r>
          </w:p>
        </w:tc>
      </w:tr>
      <w:tr>
        <w:tc>
          <w:tcPr>
            <w:tcW w:type="dxa" w:w="1701"/>
          </w:tcPr>
          <w:p>
            <w:pPr>
              <w:spacing w:after="20"/>
            </w:pPr>
            <w:r/>
            <w:r>
              <w:rPr>
                <w:b/>
                <w:sz w:val="17"/>
              </w:rPr>
              <w:t>Gerencia de laboratorio</w:t>
            </w:r>
          </w:p>
        </w:tc>
        <w:tc>
          <w:tcPr>
            <w:tcW w:type="dxa" w:w="3061"/>
          </w:tcPr>
          <w:p>
            <w:pPr>
              <w:spacing w:after="20"/>
            </w:pPr>
            <w:r/>
            <w:r>
              <w:rPr>
                <w:sz w:val="17"/>
              </w:rPr>
              <w:t>El primer resultado del roadmap es suyo (mes 4): su actualización deja de estar bloqueada</w:t>
            </w:r>
          </w:p>
        </w:tc>
        <w:tc>
          <w:tcPr>
            <w:tcW w:type="dxa" w:w="2154"/>
          </w:tcPr>
          <w:p>
            <w:pPr>
              <w:spacing w:after="20"/>
            </w:pPr>
            <w:r/>
            <w:r>
              <w:rPr>
                <w:sz w:val="17"/>
              </w:rPr>
              <w:t>Uso de la API de resultados para su equipo</w:t>
            </w:r>
          </w:p>
        </w:tc>
        <w:tc>
          <w:tcPr>
            <w:tcW w:type="dxa" w:w="1020"/>
          </w:tcPr>
          <w:p>
            <w:pPr>
              <w:spacing w:after="20"/>
            </w:pPr>
            <w:r/>
            <w:r>
              <w:rPr>
                <w:sz w:val="17"/>
              </w:rPr>
              <w:t>Mes 1 a 4</w:t>
            </w:r>
          </w:p>
        </w:tc>
        <w:tc>
          <w:tcPr>
            <w:tcW w:type="dxa" w:w="1247"/>
          </w:tcPr>
          <w:p>
            <w:pPr>
              <w:spacing w:after="20"/>
            </w:pPr>
            <w:r/>
            <w:r>
              <w:rPr>
                <w:sz w:val="17"/>
              </w:rPr>
              <w:t>Arquitecto líder</w:t>
            </w:r>
          </w:p>
        </w:tc>
      </w:tr>
      <w:tr>
        <w:tc>
          <w:tcPr>
            <w:tcW w:type="dxa" w:w="1701"/>
          </w:tcPr>
          <w:p>
            <w:pPr>
              <w:spacing w:after="20"/>
            </w:pPr>
            <w:r/>
            <w:r>
              <w:rPr>
                <w:b/>
                <w:sz w:val="17"/>
              </w:rPr>
              <w:t>Desarrolladores de HIS-CORE</w:t>
            </w:r>
          </w:p>
        </w:tc>
        <w:tc>
          <w:tcPr>
            <w:tcW w:type="dxa" w:w="3061"/>
          </w:tcPr>
          <w:p>
            <w:pPr>
              <w:spacing w:after="20"/>
            </w:pPr>
            <w:r/>
            <w:r>
              <w:rPr>
                <w:sz w:val="17"/>
              </w:rPr>
              <w:t>Reconocimiento explícito: el que se pensiona es el mentor, con un rol nombrado</w:t>
            </w:r>
          </w:p>
        </w:tc>
        <w:tc>
          <w:tcPr>
            <w:tcW w:type="dxa" w:w="2154"/>
          </w:tcPr>
          <w:p>
            <w:pPr>
              <w:spacing w:after="20"/>
            </w:pPr>
            <w:r/>
            <w:r>
              <w:rPr>
                <w:sz w:val="17"/>
              </w:rPr>
              <w:t>Pareo semanal y documentación de contratos de datos</w:t>
            </w:r>
          </w:p>
        </w:tc>
        <w:tc>
          <w:tcPr>
            <w:tcW w:type="dxa" w:w="1020"/>
          </w:tcPr>
          <w:p>
            <w:pPr>
              <w:spacing w:after="20"/>
            </w:pPr>
            <w:r/>
            <w:r>
              <w:rPr>
                <w:sz w:val="17"/>
              </w:rPr>
              <w:t>Mes 1 a 10</w:t>
            </w:r>
          </w:p>
        </w:tc>
        <w:tc>
          <w:tcPr>
            <w:tcW w:type="dxa" w:w="1247"/>
          </w:tcPr>
          <w:p>
            <w:pPr>
              <w:spacing w:after="20"/>
            </w:pPr>
            <w:r/>
            <w:r>
              <w:rPr>
                <w:sz w:val="17"/>
              </w:rPr>
              <w:t>Líder de desarrollo</w:t>
            </w:r>
          </w:p>
        </w:tc>
      </w:tr>
      <w:tr>
        <w:tc>
          <w:tcPr>
            <w:tcW w:type="dxa" w:w="1701"/>
          </w:tcPr>
          <w:p>
            <w:pPr>
              <w:spacing w:after="20"/>
            </w:pPr>
            <w:r/>
            <w:r>
              <w:rPr>
                <w:b/>
                <w:sz w:val="17"/>
              </w:rPr>
              <w:t>Aseguradores</w:t>
            </w:r>
          </w:p>
        </w:tc>
        <w:tc>
          <w:tcPr>
            <w:tcW w:type="dxa" w:w="3061"/>
          </w:tcPr>
          <w:p>
            <w:pPr>
              <w:spacing w:after="20"/>
            </w:pPr>
            <w:r/>
            <w:r>
              <w:rPr>
                <w:sz w:val="17"/>
              </w:rPr>
              <w:t>Aviso formal antes de cada cambio en la radicación</w:t>
            </w:r>
          </w:p>
        </w:tc>
        <w:tc>
          <w:tcPr>
            <w:tcW w:type="dxa" w:w="2154"/>
          </w:tcPr>
          <w:p>
            <w:pPr>
              <w:spacing w:after="20"/>
            </w:pPr>
            <w:r/>
            <w:r>
              <w:rPr>
                <w:sz w:val="17"/>
              </w:rPr>
              <w:t>—</w:t>
            </w:r>
          </w:p>
        </w:tc>
        <w:tc>
          <w:tcPr>
            <w:tcW w:type="dxa" w:w="1020"/>
          </w:tcPr>
          <w:p>
            <w:pPr>
              <w:spacing w:after="20"/>
            </w:pPr>
            <w:r/>
            <w:r>
              <w:rPr>
                <w:sz w:val="17"/>
              </w:rPr>
              <w:t>Mes 7 a 15</w:t>
            </w:r>
          </w:p>
        </w:tc>
        <w:tc>
          <w:tcPr>
            <w:tcW w:type="dxa" w:w="1247"/>
          </w:tcPr>
          <w:p>
            <w:pPr>
              <w:spacing w:after="20"/>
            </w:pPr>
            <w:r/>
            <w:r>
              <w:rPr>
                <w:sz w:val="17"/>
              </w:rPr>
              <w:t>Dirección financiera</w:t>
            </w:r>
          </w:p>
        </w:tc>
      </w:tr>
    </w:tbl>
    <w:p>
      <w:pPr>
        <w:spacing w:after="40"/>
      </w:pPr>
    </w:p>
    <w:p>
      <w:r>
        <w:rPr>
          <w:i/>
          <w:sz w:val="19"/>
        </w:rPr>
        <w:t>Tabla 14.</w:t>
      </w:r>
      <w:r>
        <w:rPr>
          <w:sz w:val="19"/>
        </w:rPr>
        <w:t xml:space="preserve"> Acciones de comunicación y capacitación por grupo.</w:t>
      </w:r>
    </w:p>
    <w:p>
      <w:r>
        <w:rPr>
          <w:b/>
        </w:rPr>
        <w:t>Qué hace distinto a este intento.</w:t>
      </w:r>
      <w:r>
        <w:t xml:space="preserve"> Cinco mecanismos responden a la fatiga de programa:</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2608"/>
            <w:shd w:val="clear" w:color="auto" w:fill="DCE6F2"/>
          </w:tcPr>
          <w:p>
            <w:pPr>
              <w:spacing w:after="20"/>
            </w:pPr>
            <w:r/>
            <w:r>
              <w:rPr>
                <w:b/>
                <w:sz w:val="18"/>
              </w:rPr>
              <w:t>Mecanismo</w:t>
            </w:r>
          </w:p>
        </w:tc>
        <w:tc>
          <w:tcPr>
            <w:tcW w:type="dxa" w:w="6576"/>
            <w:shd w:val="clear" w:color="auto" w:fill="DCE6F2"/>
          </w:tcPr>
          <w:p>
            <w:pPr>
              <w:spacing w:after="20"/>
            </w:pPr>
            <w:r/>
            <w:r>
              <w:rPr>
                <w:b/>
                <w:sz w:val="18"/>
              </w:rPr>
              <w:t>Qué lo distingue de 2016 y 2021</w:t>
            </w:r>
          </w:p>
        </w:tc>
      </w:tr>
      <w:tr>
        <w:tc>
          <w:tcPr>
            <w:tcW w:type="dxa" w:w="2608"/>
          </w:tcPr>
          <w:p>
            <w:pPr>
              <w:spacing w:after="20"/>
            </w:pPr>
            <w:r/>
            <w:r>
              <w:rPr>
                <w:b/>
                <w:sz w:val="18"/>
              </w:rPr>
              <w:t>No hay «programa»</w:t>
            </w:r>
          </w:p>
        </w:tc>
        <w:tc>
          <w:tcPr>
            <w:tcW w:type="dxa" w:w="6576"/>
          </w:tcPr>
          <w:p>
            <w:pPr>
              <w:spacing w:after="20"/>
            </w:pPr>
            <w:r/>
            <w:r>
              <w:rPr>
                <w:sz w:val="18"/>
              </w:rPr>
              <w:t>No se lanza con nombre ni evento. Se anuncia cada resultado cuando ya ocurrió.</w:t>
            </w:r>
          </w:p>
        </w:tc>
      </w:tr>
      <w:tr>
        <w:tc>
          <w:tcPr>
            <w:tcW w:type="dxa" w:w="2608"/>
          </w:tcPr>
          <w:p>
            <w:pPr>
              <w:spacing w:after="20"/>
            </w:pPr>
            <w:r/>
            <w:r>
              <w:rPr>
                <w:b/>
                <w:sz w:val="18"/>
              </w:rPr>
              <w:t>Un resultado visible cada seis meses</w:t>
            </w:r>
          </w:p>
        </w:tc>
        <w:tc>
          <w:tcPr>
            <w:tcW w:type="dxa" w:w="6576"/>
          </w:tcPr>
          <w:p>
            <w:pPr>
              <w:spacing w:after="20"/>
            </w:pPr>
            <w:r/>
            <w:r>
              <w:rPr>
                <w:sz w:val="18"/>
              </w:rPr>
              <w:t>Cada hito lo comprueba alguien fuera de TI (tabla de hitos).</w:t>
            </w:r>
          </w:p>
        </w:tc>
      </w:tr>
      <w:tr>
        <w:tc>
          <w:tcPr>
            <w:tcW w:type="dxa" w:w="2608"/>
          </w:tcPr>
          <w:p>
            <w:pPr>
              <w:spacing w:after="20"/>
            </w:pPr>
            <w:r/>
            <w:r>
              <w:rPr>
                <w:b/>
                <w:sz w:val="18"/>
              </w:rPr>
              <w:t>Financiación por tramos</w:t>
            </w:r>
          </w:p>
        </w:tc>
        <w:tc>
          <w:tcPr>
            <w:tcW w:type="dxa" w:w="6576"/>
          </w:tcPr>
          <w:p>
            <w:pPr>
              <w:spacing w:after="20"/>
            </w:pPr>
            <w:r/>
            <w:r>
              <w:rPr>
                <w:sz w:val="18"/>
              </w:rPr>
              <w:t>Cada tramo se aprueba contra el hito anterior; si un tramo falla, se detiene uno, no el roadmap.</w:t>
            </w:r>
          </w:p>
        </w:tc>
      </w:tr>
      <w:tr>
        <w:tc>
          <w:tcPr>
            <w:tcW w:type="dxa" w:w="2608"/>
          </w:tcPr>
          <w:p>
            <w:pPr>
              <w:spacing w:after="20"/>
            </w:pPr>
            <w:r/>
            <w:r>
              <w:rPr>
                <w:b/>
                <w:sz w:val="18"/>
              </w:rPr>
              <w:t>La decisión grande se aplaza a propósito</w:t>
            </w:r>
          </w:p>
        </w:tc>
        <w:tc>
          <w:tcPr>
            <w:tcW w:type="dxa" w:w="6576"/>
          </w:tcPr>
          <w:p>
            <w:pPr>
              <w:spacing w:after="20"/>
            </w:pPr>
            <w:r/>
            <w:r>
              <w:rPr>
                <w:sz w:val="18"/>
              </w:rPr>
              <w:t>La consolidación (B) se decide con datos del mes 18, no con la promesa del mes 0.</w:t>
            </w:r>
          </w:p>
        </w:tc>
      </w:tr>
      <w:tr>
        <w:tc>
          <w:tcPr>
            <w:tcW w:type="dxa" w:w="2608"/>
          </w:tcPr>
          <w:p>
            <w:pPr>
              <w:spacing w:after="20"/>
            </w:pPr>
            <w:r/>
            <w:r>
              <w:rPr>
                <w:b/>
                <w:sz w:val="18"/>
              </w:rPr>
              <w:t>El ARB gobierna el roadmap</w:t>
            </w:r>
          </w:p>
        </w:tc>
        <w:tc>
          <w:tcPr>
            <w:tcW w:type="dxa" w:w="6576"/>
          </w:tcPr>
          <w:p>
            <w:pPr>
              <w:spacing w:after="20"/>
            </w:pPr>
            <w:r/>
            <w:r>
              <w:rPr>
                <w:sz w:val="18"/>
              </w:rPr>
              <w:t>Toda iniciativa pasa por las revisiones R0 a R2 de la Unidad 3; nadie la cambia por fuera.</w:t>
            </w:r>
          </w:p>
        </w:tc>
      </w:tr>
    </w:tbl>
    <w:p>
      <w:pPr>
        <w:spacing w:after="40"/>
      </w:pPr>
    </w:p>
    <w:p>
      <w:r>
        <w:rPr>
          <w:i/>
          <w:sz w:val="19"/>
        </w:rPr>
        <w:t>Tabla 15.</w:t>
      </w:r>
      <w:r>
        <w:rPr>
          <w:sz w:val="19"/>
        </w:rPr>
        <w:t xml:space="preserve"> Mecanismos frente a la fatiga de programa.</w:t>
      </w:r>
    </w:p>
    <w:p>
      <w:pPr>
        <w:pStyle w:val="Heading1"/>
      </w:pPr>
      <w:r>
        <w:t>7. Lo que enseñan los casos del sector</w:t>
      </w:r>
    </w:p>
    <w:tbl>
      <w:tblPr>
        <w:tblW w:type="auto" w:w="0"/>
        <w:tblLook w:firstColumn="1" w:firstRow="1" w:lastColumn="0" w:lastRow="0" w:noHBand="0" w:noVBand="1" w:val="04A0"/>
      </w:tblPr>
      <w:tblGrid>
        <w:gridCol w:w="9406"/>
      </w:tblGrid>
      <w:tr>
        <w:trPr>
          <w:cantSplit w:val="true"/>
        </w:trPr>
        <w:tc>
          <w:tcPr>
            <w:tcW w:type="dxa" w:w="9406"/>
            <w:shd w:val="clear" w:color="auto" w:fill="EEF3FA"/>
            <w:tcBorders>
              <w:top w:val="nil"/>
              <w:bottom w:val="nil"/>
              <w:right w:val="nil"/>
              <w:left w:val="single" w:sz="24" w:color="C2622C"/>
            </w:tcBorders>
          </w:tcPr>
          <w:p>
            <w:r>
              <w:rPr>
                <w:b/>
                <w:sz w:val="20"/>
              </w:rPr>
              <w:t>Qué hacer en esta sección.</w:t>
            </w:r>
            <w:r>
              <w:rPr>
                <w:sz w:val="20"/>
              </w:rPr>
              <w:t xml:space="preserve"> Referencien </w:t>
            </w:r>
            <w:r>
              <w:rPr>
                <w:b/>
                <w:sz w:val="20"/>
              </w:rPr>
              <w:t>al menos dos casos reales</w:t>
            </w:r>
            <w:r>
              <w:rPr>
                <w:sz w:val="20"/>
              </w:rPr>
              <w:t xml:space="preserve"> de su sector como soporte de las decisiones del roadmap: no como adorno, sino diciendo qué decisión apoya cada uno. Los casos tienen que ser verificables y estar citados en APA 7; parten de la ficha sectorial de la Actividad 4.1. Un caso que no cambia ni sostiene ninguna decisión no suma.</w:t>
            </w:r>
          </w:p>
          <w:p>
            <w:r>
              <w:rPr>
                <w:b/>
                <w:sz w:val="19"/>
              </w:rPr>
              <w:t>Se califica en:</w:t>
            </w:r>
            <w:r>
              <w:rPr>
                <w:sz w:val="19"/>
              </w:rPr>
              <w:t xml:space="preserve"> Gestión del cambio y casos sectoriales (1,0) · </w:t>
            </w:r>
            <w:r>
              <w:rPr>
                <w:b/>
                <w:sz w:val="19"/>
              </w:rPr>
              <w:t>Se prepara con:</w:t>
            </w:r>
            <w:r>
              <w:rPr>
                <w:sz w:val="19"/>
              </w:rPr>
              <w:t xml:space="preserve"> F-29 (Actividad 4.1) · </w:t>
            </w:r>
            <w:r>
              <w:rPr>
                <w:b/>
                <w:sz w:val="19"/>
              </w:rPr>
              <w:t>Cuándo:</w:t>
            </w:r>
            <w:r>
              <w:rPr>
                <w:sz w:val="19"/>
              </w:rPr>
              <w:t xml:space="preserve"> antes de la sesión y fuera de clase.</w:t>
            </w:r>
          </w:p>
          <w:p>
            <w:r>
              <w:rPr>
                <w:i/>
                <w:sz w:val="19"/>
              </w:rPr>
              <w:t>Este recuadro es una ayuda para leer el ejemplo: no va en su informe.</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1814"/>
            <w:shd w:val="clear" w:color="auto" w:fill="DCE6F2"/>
          </w:tcPr>
          <w:p>
            <w:pPr>
              <w:spacing w:after="20"/>
            </w:pPr>
            <w:r/>
            <w:r>
              <w:rPr>
                <w:b/>
                <w:sz w:val="17"/>
              </w:rPr>
              <w:t>Caso</w:t>
            </w:r>
          </w:p>
        </w:tc>
        <w:tc>
          <w:tcPr>
            <w:tcW w:type="dxa" w:w="2835"/>
            <w:shd w:val="clear" w:color="auto" w:fill="DCE6F2"/>
          </w:tcPr>
          <w:p>
            <w:pPr>
              <w:spacing w:after="20"/>
            </w:pPr>
            <w:r/>
            <w:r>
              <w:rPr>
                <w:b/>
                <w:sz w:val="17"/>
              </w:rPr>
              <w:t>Qué hizo</w:t>
            </w:r>
          </w:p>
        </w:tc>
        <w:tc>
          <w:tcPr>
            <w:tcW w:type="dxa" w:w="2154"/>
            <w:shd w:val="clear" w:color="auto" w:fill="DCE6F2"/>
          </w:tcPr>
          <w:p>
            <w:pPr>
              <w:spacing w:after="20"/>
            </w:pPr>
            <w:r/>
            <w:r>
              <w:rPr>
                <w:b/>
                <w:sz w:val="17"/>
              </w:rPr>
              <w:t>Resultado reportado</w:t>
            </w:r>
          </w:p>
        </w:tc>
        <w:tc>
          <w:tcPr>
            <w:tcW w:type="dxa" w:w="2381"/>
            <w:shd w:val="clear" w:color="auto" w:fill="DCE6F2"/>
          </w:tcPr>
          <w:p>
            <w:pPr>
              <w:spacing w:after="20"/>
            </w:pPr>
            <w:r/>
            <w:r>
              <w:rPr>
                <w:b/>
                <w:sz w:val="17"/>
              </w:rPr>
              <w:t>Decisión del roadmap que sostiene</w:t>
            </w:r>
          </w:p>
        </w:tc>
      </w:tr>
      <w:tr>
        <w:tc>
          <w:tcPr>
            <w:tcW w:type="dxa" w:w="1814"/>
          </w:tcPr>
          <w:p>
            <w:pPr>
              <w:spacing w:after="20"/>
            </w:pPr>
            <w:r/>
            <w:r>
              <w:rPr>
                <w:b/>
                <w:sz w:val="17"/>
              </w:rPr>
              <w:t>Fundación Cardiovascular de Colombia y Hospital Internacional de Colombia (Bucaramanga)</w:t>
            </w:r>
          </w:p>
        </w:tc>
        <w:tc>
          <w:tcPr>
            <w:tcW w:type="dxa" w:w="2835"/>
          </w:tcPr>
          <w:p>
            <w:pPr>
              <w:spacing w:after="20"/>
            </w:pPr>
            <w:r/>
            <w:r>
              <w:rPr>
                <w:sz w:val="17"/>
              </w:rPr>
              <w:t>Historia clínica electrónica propia (SAHI) integrada con laboratorio, imágenes, patología y farmacia; después, uso del dato: alertas tempranas con IA y telemonitoreo</w:t>
            </w:r>
          </w:p>
        </w:tc>
        <w:tc>
          <w:tcPr>
            <w:tcW w:type="dxa" w:w="2154"/>
          </w:tcPr>
          <w:p>
            <w:pPr>
              <w:spacing w:after="20"/>
            </w:pPr>
            <w:r/>
            <w:r>
              <w:rPr>
                <w:sz w:val="17"/>
              </w:rPr>
              <w:t>HIMSS EMRAM 6 en 2021 y 7 en 2022; recertificación EMRAM 7 en enero de 2026, única institución colombiana con ese nivel vigente (Moreno González, 2026)</w:t>
            </w:r>
          </w:p>
        </w:tc>
        <w:tc>
          <w:tcPr>
            <w:tcW w:type="dxa" w:w="2381"/>
          </w:tcPr>
          <w:p>
            <w:pPr>
              <w:spacing w:after="20"/>
            </w:pPr>
            <w:r/>
            <w:r>
              <w:rPr>
                <w:sz w:val="17"/>
              </w:rPr>
              <w:t>El orden de T+1 a T+2: primero se integran los sistemas satélite a una sola historia (D2, A4, A6) y solo después se explota el dato (D4)</w:t>
            </w:r>
          </w:p>
        </w:tc>
      </w:tr>
      <w:tr>
        <w:tc>
          <w:tcPr>
            <w:tcW w:type="dxa" w:w="1814"/>
          </w:tcPr>
          <w:p>
            <w:pPr>
              <w:spacing w:after="20"/>
            </w:pPr>
            <w:r/>
            <w:r>
              <w:rPr>
                <w:b/>
                <w:sz w:val="17"/>
              </w:rPr>
              <w:t>Mayo Clinic, Plummer Project (Estados Unidos)</w:t>
            </w:r>
          </w:p>
        </w:tc>
        <w:tc>
          <w:tcPr>
            <w:tcW w:type="dxa" w:w="2835"/>
          </w:tcPr>
          <w:p>
            <w:pPr>
              <w:spacing w:after="20"/>
            </w:pPr>
            <w:r/>
            <w:r>
              <w:rPr>
                <w:sz w:val="17"/>
              </w:rPr>
              <w:t>Reemplazó sistemas dispares por una sola historia clínica y un solo sistema de ciclo de ingresos, en 90 hospitales y clínicas</w:t>
            </w:r>
          </w:p>
        </w:tc>
        <w:tc>
          <w:tcPr>
            <w:tcW w:type="dxa" w:w="2154"/>
          </w:tcPr>
          <w:p>
            <w:pPr>
              <w:spacing w:after="20"/>
            </w:pPr>
            <w:r/>
            <w:r>
              <w:rPr>
                <w:sz w:val="17"/>
              </w:rPr>
              <w:t>Despliegue por olas regionales entre julio de 2017 y octubre de 2018; la misma información del paciente en cualquier sede y un estado de cuenta consolidado (HMT, 2018)</w:t>
            </w:r>
          </w:p>
        </w:tc>
        <w:tc>
          <w:tcPr>
            <w:tcW w:type="dxa" w:w="2381"/>
          </w:tcPr>
          <w:p>
            <w:pPr>
              <w:spacing w:after="20"/>
            </w:pPr>
            <w:r/>
            <w:r>
              <w:rPr>
                <w:sz w:val="17"/>
              </w:rPr>
              <w:t>La rama B: si se consolida, se hace por oleadas de dos sedes y con historia y facturación juntas, no con un corte único</w:t>
            </w:r>
          </w:p>
        </w:tc>
      </w:tr>
      <w:tr>
        <w:tc>
          <w:tcPr>
            <w:tcW w:type="dxa" w:w="1814"/>
          </w:tcPr>
          <w:p>
            <w:pPr>
              <w:spacing w:after="20"/>
            </w:pPr>
            <w:r/>
            <w:r>
              <w:rPr>
                <w:b/>
                <w:sz w:val="17"/>
              </w:rPr>
              <w:t>Hospital Italiano de Buenos Aires (Argentina)</w:t>
            </w:r>
          </w:p>
        </w:tc>
        <w:tc>
          <w:tcPr>
            <w:tcW w:type="dxa" w:w="2835"/>
          </w:tcPr>
          <w:p>
            <w:pPr>
              <w:spacing w:after="20"/>
            </w:pPr>
            <w:r/>
            <w:r>
              <w:rPr>
                <w:sz w:val="17"/>
              </w:rPr>
              <w:t>Sistema de información propio desde 1998, integrado con admisiones, laboratorio y radiología mediante HL7; en 2001 creó un departamento de informática en salud de más de 110 personas</w:t>
            </w:r>
          </w:p>
        </w:tc>
        <w:tc>
          <w:tcPr>
            <w:tcW w:type="dxa" w:w="2154"/>
          </w:tcPr>
          <w:p>
            <w:pPr>
              <w:spacing w:after="20"/>
            </w:pPr>
            <w:r/>
            <w:r>
              <w:rPr>
                <w:sz w:val="17"/>
              </w:rPr>
              <w:t>Veinte años de construcción sostenida; su índice maestro de pacientes se adapta a necesidades de registro nuevas sin rehacer el sistema (Frangella et al., 2019; International Medical Informatics Association, 2015)</w:t>
            </w:r>
          </w:p>
        </w:tc>
        <w:tc>
          <w:tcPr>
            <w:tcW w:type="dxa" w:w="2381"/>
          </w:tcPr>
          <w:p>
            <w:pPr>
              <w:spacing w:after="20"/>
            </w:pPr>
            <w:r/>
            <w:r>
              <w:rPr>
                <w:sz w:val="17"/>
              </w:rPr>
              <w:t>K1 y el índice maestro primero: la capacidad interna y la identidad única son lo que permite crecer después; y la humildad del horizonte: 36 meses no alcanzan para todo</w:t>
            </w:r>
          </w:p>
        </w:tc>
      </w:tr>
    </w:tbl>
    <w:p>
      <w:pPr>
        <w:spacing w:after="40"/>
      </w:pPr>
    </w:p>
    <w:p>
      <w:r>
        <w:rPr>
          <w:i/>
          <w:sz w:val="19"/>
        </w:rPr>
        <w:t>Tabla 16.</w:t>
      </w:r>
      <w:r>
        <w:rPr>
          <w:sz w:val="19"/>
        </w:rPr>
        <w:t xml:space="preserve"> Casos reales del sector y la decisión del roadmap que sostiene cada uno.</w:t>
      </w:r>
    </w:p>
    <w:p>
      <w:r>
        <w:rPr>
          <w:b/>
        </w:rPr>
        <w:t>La norma empuja en la misma dirección.</w:t>
      </w:r>
      <w:r>
        <w:t xml:space="preserve"> La Resolución 1644 de 2026, que reemplazó a la 2654 de 2019, exige al prestador garantizar la interoperabilidad entre los sistemas que usa para telemedicina, «evitando la duplicidad de registros» (Ministerio de Salud y Protección Social, 2026, art. 14, parágrafo 3). Una teleconsulta que se registra a mano, después, en HIS-CORE (§7) no lo cumple: por eso N2 va en T+0 y N3 en T+1.</w:t>
      </w:r>
    </w:p>
    <w:p>
      <w:pPr>
        <w:pStyle w:val="Heading1"/>
      </w:pPr>
      <w:r>
        <w:t>8. Conclusiones</w:t>
      </w:r>
    </w:p>
    <w:tbl>
      <w:tblPr>
        <w:tblW w:type="auto" w:w="0"/>
        <w:tblLook w:firstColumn="1" w:firstRow="1" w:lastColumn="0" w:lastRow="0" w:noHBand="0" w:noVBand="1" w:val="04A0"/>
      </w:tblPr>
      <w:tblGrid>
        <w:gridCol w:w="9406"/>
      </w:tblGrid>
      <w:tr>
        <w:trPr>
          <w:cantSplit w:val="true"/>
        </w:trPr>
        <w:tc>
          <w:tcPr>
            <w:tcW w:type="dxa" w:w="9406"/>
            <w:shd w:val="clear" w:color="auto" w:fill="EEF3FA"/>
            <w:tcBorders>
              <w:top w:val="nil"/>
              <w:bottom w:val="nil"/>
              <w:right w:val="nil"/>
              <w:left w:val="single" w:sz="24" w:color="C2622C"/>
            </w:tcBorders>
          </w:tcPr>
          <w:p>
            <w:r>
              <w:rPr>
                <w:b/>
                <w:sz w:val="20"/>
              </w:rPr>
              <w:t>Qué hacer en esta sección.</w:t>
            </w:r>
            <w:r>
              <w:rPr>
                <w:sz w:val="20"/>
              </w:rPr>
              <w:t xml:space="preserve"> Digan lo que la propuesta demuestra, sin análisis nuevo: la distancia entre la promesa y la realidad, el camino, lo que cuesta, la decisión que queda abierta y cómo se gobierna. Antes de subir, pasen el F-37 condición por condición.</w:t>
            </w:r>
          </w:p>
          <w:p>
            <w:r>
              <w:rPr>
                <w:i/>
                <w:sz w:val="19"/>
              </w:rPr>
              <w:t>Este recuadro es una ayuda para leer el ejemplo: no va en su informe.</w:t>
            </w:r>
          </w:p>
        </w:tc>
      </w:tr>
    </w:tbl>
    <w:p>
      <w:pPr>
        <w:spacing w:after="40"/>
      </w:pPr>
    </w:p>
    <w:p>
      <w:pPr>
        <w:pStyle w:val="ListBullet"/>
        <w:spacing w:after="40"/>
      </w:pPr>
      <w:r>
        <w:t>Andina 2029 describe una red integrada sobre una arquitectura de sedes replicadas. El estado objetivo no la unifica toda: unifica tres dominios de datos, que es lo que las cinco apuestas necesitan.</w:t>
      </w:r>
    </w:p>
    <w:p>
      <w:pPr>
        <w:pStyle w:val="ListBullet"/>
        <w:spacing w:after="40"/>
      </w:pPr>
      <w:r>
        <w:t>Las 17 brechas se cierran con 19 iniciativas en tres horizontes, y cada una lleva valor, riesgo y costo. El año 1 cabe en la mitad del presupuesto porque se difieren seis inversiones con nombre propio, no porque se recorte todo.</w:t>
      </w:r>
    </w:p>
    <w:p>
      <w:pPr>
        <w:pStyle w:val="ListBullet"/>
        <w:spacing w:after="40"/>
      </w:pPr>
      <w:r>
        <w:t>El roadmap entrega un resultado comprobable cada seis meses y cada plateau se sostiene solo: es la respuesta a dos programas fallidos.</w:t>
      </w:r>
    </w:p>
    <w:p>
      <w:pPr>
        <w:pStyle w:val="ListBullet"/>
        <w:spacing w:after="40"/>
      </w:pPr>
      <w:r>
        <w:t>La decisión más cara —consolidar o no los dos sistemas asistenciales— se toma en el mes 18 con cinco criterios medidos. Se recomienda preparar la consolidación, pero los datos del mes 18 deciden.</w:t>
      </w:r>
    </w:p>
    <w:p>
      <w:pPr>
        <w:pStyle w:val="ListBullet"/>
        <w:spacing w:after="40"/>
      </w:pPr>
      <w:r>
        <w:t>El Consejo de Arquitectura de la Unidad 3 gobierna el roadmap: cada iniciativa pasa por sus revisiones y cada desviación queda registrada.</w:t>
      </w:r>
    </w:p>
    <w:p>
      <w:pPr>
        <w:pStyle w:val="Heading1"/>
      </w:pPr>
      <w:r>
        <w:t>Referencias</w:t>
      </w:r>
    </w:p>
    <w:p>
      <w:pPr>
        <w:ind w:left="567" w:hanging="567"/>
      </w:pPr>
      <w:r>
        <w:t xml:space="preserve">Colombia, Congreso de la República. (2020). </w:t>
      </w:r>
      <w:r>
        <w:rPr>
          <w:i/>
        </w:rPr>
        <w:t>Ley 2015 de 2020, por medio de la cual se crea la historia clínica electrónica interoperable</w:t>
      </w:r>
      <w:r>
        <w:t>.</w:t>
      </w:r>
    </w:p>
    <w:p>
      <w:pPr>
        <w:ind w:left="567" w:hanging="567"/>
      </w:pPr>
      <w:r>
        <w:t xml:space="preserve">Frangella, J., Cassarino, M., Plazzotta, F., Gassino, F., Otero, C., &amp; Luna, D. (2019). Designed strategies and adaptation of a master patient index for transgender patients in a tertiary care hospital. </w:t>
      </w:r>
      <w:r>
        <w:rPr>
          <w:i/>
        </w:rPr>
        <w:t>Studies in Health Technology and Informatics, 264</w:t>
      </w:r>
      <w:r>
        <w:t>, 1698–1699. https://doi.org/10.3233/SHTI190603</w:t>
      </w:r>
    </w:p>
    <w:p>
      <w:pPr>
        <w:ind w:left="567" w:hanging="567"/>
      </w:pPr>
      <w:r>
        <w:t xml:space="preserve">HMT. (2018, 10 de octubre). </w:t>
      </w:r>
      <w:r>
        <w:rPr>
          <w:i/>
        </w:rPr>
        <w:t>Mayo Clinic completes installation of Epic electronic health record</w:t>
      </w:r>
      <w:r>
        <w:t>. Healthcare Innovation. https://www.hcinnovationgroup.com/clinical-it/electronic-health-record-electronic-medical-record-ehr-emr/article/13010956/mayo-clinic-completes-installation-of-epic-electronic-health-record</w:t>
      </w:r>
    </w:p>
    <w:p>
      <w:pPr>
        <w:ind w:left="567" w:hanging="567"/>
      </w:pPr>
      <w:r>
        <w:t xml:space="preserve">ISACA. (2018). </w:t>
      </w:r>
      <w:r>
        <w:rPr>
          <w:i/>
        </w:rPr>
        <w:t>COBIT® 2019 framework: Governance and management objectives</w:t>
      </w:r>
      <w:r>
        <w:t>. ISACA.</w:t>
      </w:r>
    </w:p>
    <w:p>
      <w:pPr>
        <w:ind w:left="567" w:hanging="567"/>
      </w:pPr>
      <w:r>
        <w:t xml:space="preserve">International Medical Informatics Association. (2015). </w:t>
      </w:r>
      <w:r>
        <w:rPr>
          <w:i/>
        </w:rPr>
        <w:t>Hospital Italiano de Buenos Aires</w:t>
      </w:r>
      <w:r>
        <w:t>. https://imia-medinfo.org/wp/hospital-italiano-de-buenos-aires/</w:t>
      </w:r>
    </w:p>
    <w:p>
      <w:pPr>
        <w:ind w:left="567" w:hanging="567"/>
      </w:pPr>
      <w:r>
        <w:t xml:space="preserve">Kotter, J. P. (1996). </w:t>
      </w:r>
      <w:r>
        <w:rPr>
          <w:i/>
        </w:rPr>
        <w:t>Leading change</w:t>
      </w:r>
      <w:r>
        <w:t>. Harvard Business School Press.</w:t>
      </w:r>
    </w:p>
    <w:p>
      <w:pPr>
        <w:ind w:left="567" w:hanging="567"/>
      </w:pPr>
      <w:r>
        <w:t xml:space="preserve">Lankhorst, M. (2017). </w:t>
      </w:r>
      <w:r>
        <w:rPr>
          <w:i/>
        </w:rPr>
        <w:t>Enterprise architecture at work: Modelling, communication and analysis</w:t>
      </w:r>
      <w:r>
        <w:t xml:space="preserve"> (4.ª ed.). Springer. https://doi.org/10.1007/978-3-662-53933-0</w:t>
      </w:r>
    </w:p>
    <w:p>
      <w:pPr>
        <w:ind w:left="567" w:hanging="567"/>
      </w:pPr>
      <w:r>
        <w:t xml:space="preserve">Ministerio de Salud y Protección Social. (2023). </w:t>
      </w:r>
      <w:r>
        <w:rPr>
          <w:i/>
        </w:rPr>
        <w:t>Resolución 2275 de 2023</w:t>
      </w:r>
      <w:r>
        <w:t>.</w:t>
      </w:r>
    </w:p>
    <w:p>
      <w:pPr>
        <w:ind w:left="567" w:hanging="567"/>
      </w:pPr>
      <w:r>
        <w:t xml:space="preserve">Ministerio de Salud y Protección Social. (2025). </w:t>
      </w:r>
      <w:r>
        <w:rPr>
          <w:i/>
        </w:rPr>
        <w:t>Resolución 1888 de 2025, por medio de la cual se adopta el Resumen Digital de Atención en Salud (RDA)</w:t>
      </w:r>
      <w:r>
        <w:t>.</w:t>
      </w:r>
    </w:p>
    <w:p>
      <w:pPr>
        <w:ind w:left="567" w:hanging="567"/>
      </w:pPr>
      <w:r>
        <w:t xml:space="preserve">Ministerio de Salud y Protección Social. (2026). </w:t>
      </w:r>
      <w:r>
        <w:rPr>
          <w:i/>
        </w:rPr>
        <w:t>Resolución 1644 de 2026, por la cual se establecen los requisitos y condiciones para la telesalud y la prestación de servicios en la modalidad de telemedicina</w:t>
      </w:r>
      <w:r>
        <w:t>.</w:t>
      </w:r>
    </w:p>
    <w:p>
      <w:pPr>
        <w:ind w:left="567" w:hanging="567"/>
      </w:pPr>
      <w:r>
        <w:t xml:space="preserve">Moreno González, N. (2026, 21 de enero). </w:t>
      </w:r>
      <w:r>
        <w:rPr>
          <w:i/>
        </w:rPr>
        <w:t>HIMSS recertifica al HIC en EMRAM 7: así sostiene el liderazgo en salud digital en Colombia</w:t>
      </w:r>
      <w:r>
        <w:t>. ConsultorSalud. https://consultorsalud.com/himss-recertifica-al-hic-en-emram-7-salud/</w:t>
      </w:r>
    </w:p>
    <w:p>
      <w:pPr>
        <w:ind w:left="567" w:hanging="567"/>
      </w:pPr>
      <w:r>
        <w:t xml:space="preserve">Ross, J. W., Weill, P., &amp; Robertson, D. C. (2006). </w:t>
      </w:r>
      <w:r>
        <w:rPr>
          <w:i/>
        </w:rPr>
        <w:t>Enterprise architecture as strategy: Creating a foundation for business execution</w:t>
      </w:r>
      <w:r>
        <w:t>. Harvard Business School Press.</w:t>
      </w:r>
    </w:p>
    <w:p>
      <w:pPr>
        <w:ind w:left="567" w:hanging="567"/>
      </w:pPr>
      <w:r>
        <w:t xml:space="preserve">The Open Group. (2022a). </w:t>
      </w:r>
      <w:r>
        <w:rPr>
          <w:i/>
        </w:rPr>
        <w:t>ArchiMate® 3.2 specification</w:t>
      </w:r>
      <w:r>
        <w:t>. https://pubs.opengroup.org/architecture/archimate32-doc/</w:t>
      </w:r>
    </w:p>
    <w:p>
      <w:pPr>
        <w:ind w:left="567" w:hanging="567"/>
      </w:pPr>
      <w:r>
        <w:t xml:space="preserve">The Open Group. (2022b). </w:t>
      </w:r>
      <w:r>
        <w:rPr>
          <w:i/>
        </w:rPr>
        <w:t>The TOGAF® Standard, 10th Edition</w:t>
      </w:r>
      <w:r>
        <w:t>. https://www.opengroup.org/togaf</w:t>
      </w:r>
    </w:p>
    <w:p>
      <w:pPr>
        <w:ind w:left="567" w:hanging="567"/>
      </w:pPr>
      <w:r>
        <w:t xml:space="preserve">Vega Fernández, C. A. (2026). </w:t>
      </w:r>
      <w:r>
        <w:rPr>
          <w:i/>
        </w:rPr>
        <w:t>Red Salud Andina: dossier del caso de respaldo</w:t>
      </w:r>
      <w:r>
        <w:t xml:space="preserve"> [Documento del curso Arquitectura Empresarial]. Universidad de La Sabana.</w:t>
      </w:r>
    </w:p>
    <w:p>
      <w:pPr>
        <w:ind w:left="567" w:hanging="567"/>
      </w:pPr>
      <w:r>
        <w:t xml:space="preserve">Weill, P., &amp; Woerner, S. L. (2018). </w:t>
      </w:r>
      <w:r>
        <w:rPr>
          <w:i/>
        </w:rPr>
        <w:t>What's your digital business model? Six questions to help you build the next-generation enterprise</w:t>
      </w:r>
      <w:r>
        <w:t>. Harvard Business Review Press.</w:t>
      </w:r>
    </w:p>
    <w:p>
      <w:r>
        <w:br w:type="page"/>
      </w:r>
    </w:p>
    <w:p>
      <w:pPr>
        <w:pStyle w:val="Heading1"/>
      </w:pPr>
      <w:r>
        <w:t>Anexo A. Matriz de brechas por dominio</w:t>
      </w:r>
    </w:p>
    <w:p>
      <w:r>
        <w:t>Cada brecha con su estado actual, su estado objetivo, su tipo y la iniciativa que la cierra (sección 5).</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907"/>
            <w:shd w:val="clear" w:color="auto" w:fill="DCE6F2"/>
          </w:tcPr>
          <w:p>
            <w:pPr>
              <w:spacing w:after="20"/>
            </w:pPr>
            <w:r/>
            <w:r>
              <w:rPr>
                <w:b/>
                <w:sz w:val="17"/>
              </w:rPr>
              <w:t>Negocio</w:t>
            </w:r>
          </w:p>
        </w:tc>
        <w:tc>
          <w:tcPr>
            <w:tcW w:type="dxa" w:w="3288"/>
            <w:shd w:val="clear" w:color="auto" w:fill="DCE6F2"/>
          </w:tcPr>
          <w:p>
            <w:pPr>
              <w:spacing w:after="20"/>
            </w:pPr>
            <w:r/>
            <w:r>
              <w:rPr>
                <w:b/>
                <w:sz w:val="17"/>
              </w:rPr>
              <w:t>AS-IS</w:t>
            </w:r>
          </w:p>
        </w:tc>
        <w:tc>
          <w:tcPr>
            <w:tcW w:type="dxa" w:w="2948"/>
            <w:shd w:val="clear" w:color="auto" w:fill="DCE6F2"/>
          </w:tcPr>
          <w:p>
            <w:pPr>
              <w:spacing w:after="20"/>
            </w:pPr>
            <w:r/>
            <w:r>
              <w:rPr>
                <w:b/>
                <w:sz w:val="17"/>
              </w:rPr>
              <w:t>TO-BE</w:t>
            </w:r>
          </w:p>
        </w:tc>
        <w:tc>
          <w:tcPr>
            <w:tcW w:type="dxa" w:w="1020"/>
            <w:shd w:val="clear" w:color="auto" w:fill="DCE6F2"/>
          </w:tcPr>
          <w:p>
            <w:pPr>
              <w:spacing w:after="20"/>
            </w:pPr>
            <w:r/>
            <w:r>
              <w:rPr>
                <w:b/>
                <w:sz w:val="17"/>
              </w:rPr>
              <w:t>Tipo</w:t>
            </w:r>
          </w:p>
        </w:tc>
        <w:tc>
          <w:tcPr>
            <w:tcW w:type="dxa" w:w="1020"/>
            <w:shd w:val="clear" w:color="auto" w:fill="DCE6F2"/>
          </w:tcPr>
          <w:p>
            <w:pPr>
              <w:spacing w:after="20"/>
            </w:pPr>
            <w:r/>
            <w:r>
              <w:rPr>
                <w:b/>
                <w:sz w:val="17"/>
              </w:rPr>
              <w:t>Iniciativa</w:t>
            </w:r>
          </w:p>
        </w:tc>
      </w:tr>
      <w:tr>
        <w:tc>
          <w:tcPr>
            <w:tcW w:type="dxa" w:w="907"/>
          </w:tcPr>
          <w:p>
            <w:pPr>
              <w:spacing w:after="20"/>
            </w:pPr>
            <w:r/>
            <w:r>
              <w:rPr>
                <w:sz w:val="17"/>
              </w:rPr>
              <w:t>G-N1</w:t>
            </w:r>
          </w:p>
        </w:tc>
        <w:tc>
          <w:tcPr>
            <w:tcW w:type="dxa" w:w="3288"/>
          </w:tcPr>
          <w:p>
            <w:pPr>
              <w:spacing w:after="20"/>
            </w:pPr>
            <w:r/>
            <w:r>
              <w:rPr>
                <w:sz w:val="17"/>
              </w:rPr>
              <w:t>No hay gobierno de arquitectura: el comité de TI decide inversión, no diseño</w:t>
            </w:r>
          </w:p>
        </w:tc>
        <w:tc>
          <w:tcPr>
            <w:tcW w:type="dxa" w:w="2948"/>
          </w:tcPr>
          <w:p>
            <w:pPr>
              <w:spacing w:after="20"/>
            </w:pPr>
            <w:r/>
            <w:r>
              <w:rPr>
                <w:sz w:val="17"/>
              </w:rPr>
              <w:t>ARB operando (Unidad 3) y tablero del roadmap</w:t>
            </w:r>
          </w:p>
        </w:tc>
        <w:tc>
          <w:tcPr>
            <w:tcW w:type="dxa" w:w="1020"/>
          </w:tcPr>
          <w:p>
            <w:pPr>
              <w:spacing w:after="20"/>
            </w:pPr>
            <w:r/>
            <w:r>
              <w:rPr>
                <w:sz w:val="17"/>
              </w:rPr>
              <w:t>Nuevo</w:t>
            </w:r>
          </w:p>
        </w:tc>
        <w:tc>
          <w:tcPr>
            <w:tcW w:type="dxa" w:w="1020"/>
          </w:tcPr>
          <w:p>
            <w:pPr>
              <w:spacing w:after="20"/>
            </w:pPr>
            <w:r/>
            <w:r>
              <w:rPr>
                <w:sz w:val="17"/>
              </w:rPr>
              <w:t>N1</w:t>
            </w:r>
          </w:p>
        </w:tc>
      </w:tr>
      <w:tr>
        <w:tc>
          <w:tcPr>
            <w:tcW w:type="dxa" w:w="907"/>
          </w:tcPr>
          <w:p>
            <w:pPr>
              <w:spacing w:after="20"/>
            </w:pPr>
            <w:r/>
            <w:r>
              <w:rPr>
                <w:sz w:val="17"/>
              </w:rPr>
              <w:t>G-N2</w:t>
            </w:r>
          </w:p>
        </w:tc>
        <w:tc>
          <w:tcPr>
            <w:tcW w:type="dxa" w:w="3288"/>
          </w:tcPr>
          <w:p>
            <w:pPr>
              <w:spacing w:after="20"/>
            </w:pPr>
            <w:r/>
            <w:r>
              <w:rPr>
                <w:sz w:val="17"/>
              </w:rPr>
              <w:t>Dos personas conocen HIS-CORE; una sale en el mes 11</w:t>
            </w:r>
          </w:p>
        </w:tc>
        <w:tc>
          <w:tcPr>
            <w:tcW w:type="dxa" w:w="2948"/>
          </w:tcPr>
          <w:p>
            <w:pPr>
              <w:spacing w:after="20"/>
            </w:pPr>
            <w:r/>
            <w:r>
              <w:rPr>
                <w:sz w:val="17"/>
              </w:rPr>
              <w:t>Tres personas lo conocen y los contratos de datos están documentados</w:t>
            </w:r>
          </w:p>
        </w:tc>
        <w:tc>
          <w:tcPr>
            <w:tcW w:type="dxa" w:w="1020"/>
          </w:tcPr>
          <w:p>
            <w:pPr>
              <w:spacing w:after="20"/>
            </w:pPr>
            <w:r/>
            <w:r>
              <w:rPr>
                <w:sz w:val="17"/>
              </w:rPr>
              <w:t>Transformar</w:t>
            </w:r>
          </w:p>
        </w:tc>
        <w:tc>
          <w:tcPr>
            <w:tcW w:type="dxa" w:w="1020"/>
          </w:tcPr>
          <w:p>
            <w:pPr>
              <w:spacing w:after="20"/>
            </w:pPr>
            <w:r/>
            <w:r>
              <w:rPr>
                <w:sz w:val="17"/>
              </w:rPr>
              <w:t>K1</w:t>
            </w:r>
          </w:p>
        </w:tc>
      </w:tr>
      <w:tr>
        <w:tc>
          <w:tcPr>
            <w:tcW w:type="dxa" w:w="907"/>
          </w:tcPr>
          <w:p>
            <w:pPr>
              <w:spacing w:after="20"/>
            </w:pPr>
            <w:r/>
            <w:r>
              <w:rPr>
                <w:sz w:val="17"/>
              </w:rPr>
              <w:t>G-N3</w:t>
            </w:r>
          </w:p>
        </w:tc>
        <w:tc>
          <w:tcPr>
            <w:tcW w:type="dxa" w:w="3288"/>
          </w:tcPr>
          <w:p>
            <w:pPr>
              <w:spacing w:after="20"/>
            </w:pPr>
            <w:r/>
            <w:r>
              <w:rPr>
                <w:sz w:val="17"/>
              </w:rPr>
              <w:t>La teleconsulta se agenda aparte y se registra a mano</w:t>
            </w:r>
          </w:p>
        </w:tc>
        <w:tc>
          <w:tcPr>
            <w:tcW w:type="dxa" w:w="2948"/>
          </w:tcPr>
          <w:p>
            <w:pPr>
              <w:spacing w:after="20"/>
            </w:pPr>
            <w:r/>
            <w:r>
              <w:rPr>
                <w:sz w:val="17"/>
              </w:rPr>
              <w:t>Atención virtual dentro de la agenda y la historia</w:t>
            </w:r>
          </w:p>
        </w:tc>
        <w:tc>
          <w:tcPr>
            <w:tcW w:type="dxa" w:w="1020"/>
          </w:tcPr>
          <w:p>
            <w:pPr>
              <w:spacing w:after="20"/>
            </w:pPr>
            <w:r/>
            <w:r>
              <w:rPr>
                <w:sz w:val="17"/>
              </w:rPr>
              <w:t>Transformar</w:t>
            </w:r>
          </w:p>
        </w:tc>
        <w:tc>
          <w:tcPr>
            <w:tcW w:type="dxa" w:w="1020"/>
          </w:tcPr>
          <w:p>
            <w:pPr>
              <w:spacing w:after="20"/>
            </w:pPr>
            <w:r/>
            <w:r>
              <w:rPr>
                <w:sz w:val="17"/>
              </w:rPr>
              <w:t>N2, N3</w:t>
            </w:r>
          </w:p>
        </w:tc>
      </w:tr>
      <w:tr>
        <w:tc>
          <w:tcPr>
            <w:tcW w:type="dxa" w:w="907"/>
          </w:tcPr>
          <w:p>
            <w:pPr>
              <w:spacing w:after="20"/>
            </w:pPr>
            <w:r/>
            <w:r>
              <w:rPr>
                <w:sz w:val="17"/>
              </w:rPr>
              <w:t>G-N4</w:t>
            </w:r>
          </w:p>
        </w:tc>
        <w:tc>
          <w:tcPr>
            <w:tcW w:type="dxa" w:w="3288"/>
          </w:tcPr>
          <w:p>
            <w:pPr>
              <w:spacing w:after="20"/>
            </w:pPr>
            <w:r/>
            <w:r>
              <w:rPr>
                <w:sz w:val="17"/>
              </w:rPr>
              <w:t>Cada cliente B2B se conecta con un desarrollo a la medida</w:t>
            </w:r>
          </w:p>
        </w:tc>
        <w:tc>
          <w:tcPr>
            <w:tcW w:type="dxa" w:w="2948"/>
          </w:tcPr>
          <w:p>
            <w:pPr>
              <w:spacing w:after="20"/>
            </w:pPr>
            <w:r/>
            <w:r>
              <w:rPr>
                <w:sz w:val="17"/>
              </w:rPr>
              <w:t>Incorporación de clientes B2B por API estándar</w:t>
            </w:r>
          </w:p>
        </w:tc>
        <w:tc>
          <w:tcPr>
            <w:tcW w:type="dxa" w:w="1020"/>
          </w:tcPr>
          <w:p>
            <w:pPr>
              <w:spacing w:after="20"/>
            </w:pPr>
            <w:r/>
            <w:r>
              <w:rPr>
                <w:sz w:val="17"/>
              </w:rPr>
              <w:t>Transformar</w:t>
            </w:r>
          </w:p>
        </w:tc>
        <w:tc>
          <w:tcPr>
            <w:tcW w:type="dxa" w:w="1020"/>
          </w:tcPr>
          <w:p>
            <w:pPr>
              <w:spacing w:after="20"/>
            </w:pPr>
            <w:r/>
            <w:r>
              <w:rPr>
                <w:sz w:val="17"/>
              </w:rPr>
              <w:t>N5</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907"/>
            <w:shd w:val="clear" w:color="auto" w:fill="DCE6F2"/>
          </w:tcPr>
          <w:p>
            <w:pPr>
              <w:spacing w:after="20"/>
            </w:pPr>
            <w:r/>
            <w:r>
              <w:rPr>
                <w:b/>
                <w:sz w:val="17"/>
              </w:rPr>
              <w:t>Datos</w:t>
            </w:r>
          </w:p>
        </w:tc>
        <w:tc>
          <w:tcPr>
            <w:tcW w:type="dxa" w:w="3288"/>
            <w:shd w:val="clear" w:color="auto" w:fill="DCE6F2"/>
          </w:tcPr>
          <w:p>
            <w:pPr>
              <w:spacing w:after="20"/>
            </w:pPr>
            <w:r/>
            <w:r>
              <w:rPr>
                <w:b/>
                <w:sz w:val="17"/>
              </w:rPr>
              <w:t>AS-IS</w:t>
            </w:r>
          </w:p>
        </w:tc>
        <w:tc>
          <w:tcPr>
            <w:tcW w:type="dxa" w:w="2948"/>
            <w:shd w:val="clear" w:color="auto" w:fill="DCE6F2"/>
          </w:tcPr>
          <w:p>
            <w:pPr>
              <w:spacing w:after="20"/>
            </w:pPr>
            <w:r/>
            <w:r>
              <w:rPr>
                <w:b/>
                <w:sz w:val="17"/>
              </w:rPr>
              <w:t>TO-BE</w:t>
            </w:r>
          </w:p>
        </w:tc>
        <w:tc>
          <w:tcPr>
            <w:tcW w:type="dxa" w:w="1020"/>
            <w:shd w:val="clear" w:color="auto" w:fill="DCE6F2"/>
          </w:tcPr>
          <w:p>
            <w:pPr>
              <w:spacing w:after="20"/>
            </w:pPr>
            <w:r/>
            <w:r>
              <w:rPr>
                <w:b/>
                <w:sz w:val="17"/>
              </w:rPr>
              <w:t>Tipo</w:t>
            </w:r>
          </w:p>
        </w:tc>
        <w:tc>
          <w:tcPr>
            <w:tcW w:type="dxa" w:w="1020"/>
            <w:shd w:val="clear" w:color="auto" w:fill="DCE6F2"/>
          </w:tcPr>
          <w:p>
            <w:pPr>
              <w:spacing w:after="20"/>
            </w:pPr>
            <w:r/>
            <w:r>
              <w:rPr>
                <w:b/>
                <w:sz w:val="17"/>
              </w:rPr>
              <w:t>Iniciativa</w:t>
            </w:r>
          </w:p>
        </w:tc>
      </w:tr>
      <w:tr>
        <w:tc>
          <w:tcPr>
            <w:tcW w:type="dxa" w:w="907"/>
          </w:tcPr>
          <w:p>
            <w:pPr>
              <w:spacing w:after="20"/>
            </w:pPr>
            <w:r/>
            <w:r>
              <w:rPr>
                <w:sz w:val="17"/>
              </w:rPr>
              <w:t>G-D1</w:t>
            </w:r>
          </w:p>
        </w:tc>
        <w:tc>
          <w:tcPr>
            <w:tcW w:type="dxa" w:w="3288"/>
          </w:tcPr>
          <w:p>
            <w:pPr>
              <w:spacing w:after="20"/>
            </w:pPr>
            <w:r/>
            <w:r>
              <w:rPr>
                <w:sz w:val="17"/>
              </w:rPr>
              <w:t>Cuatro maestros de paciente; 6 % de error de conciliación</w:t>
            </w:r>
          </w:p>
        </w:tc>
        <w:tc>
          <w:tcPr>
            <w:tcW w:type="dxa" w:w="2948"/>
          </w:tcPr>
          <w:p>
            <w:pPr>
              <w:spacing w:after="20"/>
            </w:pPr>
            <w:r/>
            <w:r>
              <w:rPr>
                <w:sz w:val="17"/>
              </w:rPr>
              <w:t>Índice maestro único; error ≤ 1 %</w:t>
            </w:r>
          </w:p>
        </w:tc>
        <w:tc>
          <w:tcPr>
            <w:tcW w:type="dxa" w:w="1020"/>
          </w:tcPr>
          <w:p>
            <w:pPr>
              <w:spacing w:after="20"/>
            </w:pPr>
            <w:r/>
            <w:r>
              <w:rPr>
                <w:sz w:val="17"/>
              </w:rPr>
              <w:t>Nuevo</w:t>
            </w:r>
          </w:p>
        </w:tc>
        <w:tc>
          <w:tcPr>
            <w:tcW w:type="dxa" w:w="1020"/>
          </w:tcPr>
          <w:p>
            <w:pPr>
              <w:spacing w:after="20"/>
            </w:pPr>
            <w:r/>
            <w:r>
              <w:rPr>
                <w:sz w:val="17"/>
              </w:rPr>
              <w:t>D1, D2</w:t>
            </w:r>
          </w:p>
        </w:tc>
      </w:tr>
      <w:tr>
        <w:tc>
          <w:tcPr>
            <w:tcW w:type="dxa" w:w="907"/>
          </w:tcPr>
          <w:p>
            <w:pPr>
              <w:spacing w:after="20"/>
            </w:pPr>
            <w:r/>
            <w:r>
              <w:rPr>
                <w:sz w:val="17"/>
              </w:rPr>
              <w:t>G-D2</w:t>
            </w:r>
          </w:p>
        </w:tc>
        <w:tc>
          <w:tcPr>
            <w:tcW w:type="dxa" w:w="3288"/>
          </w:tcPr>
          <w:p>
            <w:pPr>
              <w:spacing w:after="20"/>
            </w:pPr>
            <w:r/>
            <w:r>
              <w:rPr>
                <w:sz w:val="17"/>
              </w:rPr>
              <w:t>Codificación de procedimientos no homologada entre los dos HIS</w:t>
            </w:r>
          </w:p>
        </w:tc>
        <w:tc>
          <w:tcPr>
            <w:tcW w:type="dxa" w:w="2948"/>
          </w:tcPr>
          <w:p>
            <w:pPr>
              <w:spacing w:after="20"/>
            </w:pPr>
            <w:r/>
            <w:r>
              <w:rPr>
                <w:sz w:val="17"/>
              </w:rPr>
              <w:t>Catálogos homologados, los que exige el Resumen Digital de Atención</w:t>
            </w:r>
          </w:p>
        </w:tc>
        <w:tc>
          <w:tcPr>
            <w:tcW w:type="dxa" w:w="1020"/>
          </w:tcPr>
          <w:p>
            <w:pPr>
              <w:spacing w:after="20"/>
            </w:pPr>
            <w:r/>
            <w:r>
              <w:rPr>
                <w:sz w:val="17"/>
              </w:rPr>
              <w:t>Nuevo</w:t>
            </w:r>
          </w:p>
        </w:tc>
        <w:tc>
          <w:tcPr>
            <w:tcW w:type="dxa" w:w="1020"/>
          </w:tcPr>
          <w:p>
            <w:pPr>
              <w:spacing w:after="20"/>
            </w:pPr>
            <w:r/>
            <w:r>
              <w:rPr>
                <w:sz w:val="17"/>
              </w:rPr>
              <w:t>A6</w:t>
            </w:r>
          </w:p>
        </w:tc>
      </w:tr>
      <w:tr>
        <w:tc>
          <w:tcPr>
            <w:tcW w:type="dxa" w:w="907"/>
          </w:tcPr>
          <w:p>
            <w:pPr>
              <w:spacing w:after="20"/>
            </w:pPr>
            <w:r/>
            <w:r>
              <w:rPr>
                <w:sz w:val="17"/>
              </w:rPr>
              <w:t>G-D3</w:t>
            </w:r>
          </w:p>
        </w:tc>
        <w:tc>
          <w:tcPr>
            <w:tcW w:type="dxa" w:w="3288"/>
          </w:tcPr>
          <w:p>
            <w:pPr>
              <w:spacing w:after="20"/>
            </w:pPr>
            <w:r/>
            <w:r>
              <w:rPr>
                <w:sz w:val="17"/>
              </w:rPr>
              <w:t>La tarifa se valida a mano y la glosa se mide en una hoja de cálculo</w:t>
            </w:r>
          </w:p>
        </w:tc>
        <w:tc>
          <w:tcPr>
            <w:tcW w:type="dxa" w:w="2948"/>
          </w:tcPr>
          <w:p>
            <w:pPr>
              <w:spacing w:after="20"/>
            </w:pPr>
            <w:r/>
            <w:r>
              <w:rPr>
                <w:sz w:val="17"/>
              </w:rPr>
              <w:t>Validación en el origen; indicador de glosa calculado en FACT-SALUD</w:t>
            </w:r>
          </w:p>
        </w:tc>
        <w:tc>
          <w:tcPr>
            <w:tcW w:type="dxa" w:w="1020"/>
          </w:tcPr>
          <w:p>
            <w:pPr>
              <w:spacing w:after="20"/>
            </w:pPr>
            <w:r/>
            <w:r>
              <w:rPr>
                <w:sz w:val="17"/>
              </w:rPr>
              <w:t>Transformar</w:t>
            </w:r>
          </w:p>
        </w:tc>
        <w:tc>
          <w:tcPr>
            <w:tcW w:type="dxa" w:w="1020"/>
          </w:tcPr>
          <w:p>
            <w:pPr>
              <w:spacing w:after="20"/>
            </w:pPr>
            <w:r/>
            <w:r>
              <w:rPr>
                <w:sz w:val="17"/>
              </w:rPr>
              <w:t>D3</w:t>
            </w:r>
          </w:p>
        </w:tc>
      </w:tr>
      <w:tr>
        <w:tc>
          <w:tcPr>
            <w:tcW w:type="dxa" w:w="907"/>
          </w:tcPr>
          <w:p>
            <w:pPr>
              <w:spacing w:after="20"/>
            </w:pPr>
            <w:r/>
            <w:r>
              <w:rPr>
                <w:sz w:val="17"/>
              </w:rPr>
              <w:t>G-D4</w:t>
            </w:r>
          </w:p>
        </w:tc>
        <w:tc>
          <w:tcPr>
            <w:tcW w:type="dxa" w:w="3288"/>
          </w:tcPr>
          <w:p>
            <w:pPr>
              <w:spacing w:after="20"/>
            </w:pPr>
            <w:r/>
            <w:r>
              <w:rPr>
                <w:sz w:val="17"/>
              </w:rPr>
              <w:t>El tablero de dirección se alimenta de extracciones nocturnas que discrepan</w:t>
            </w:r>
          </w:p>
        </w:tc>
        <w:tc>
          <w:tcPr>
            <w:tcW w:type="dxa" w:w="2948"/>
          </w:tcPr>
          <w:p>
            <w:pPr>
              <w:spacing w:after="20"/>
            </w:pPr>
            <w:r/>
            <w:r>
              <w:rPr>
                <w:sz w:val="17"/>
              </w:rPr>
              <w:t>Visión 360 sobre datos homologados</w:t>
            </w:r>
          </w:p>
        </w:tc>
        <w:tc>
          <w:tcPr>
            <w:tcW w:type="dxa" w:w="1020"/>
          </w:tcPr>
          <w:p>
            <w:pPr>
              <w:spacing w:after="20"/>
            </w:pPr>
            <w:r/>
            <w:r>
              <w:rPr>
                <w:sz w:val="17"/>
              </w:rPr>
              <w:t>Nuevo</w:t>
            </w:r>
          </w:p>
        </w:tc>
        <w:tc>
          <w:tcPr>
            <w:tcW w:type="dxa" w:w="1020"/>
          </w:tcPr>
          <w:p>
            <w:pPr>
              <w:spacing w:after="20"/>
            </w:pPr>
            <w:r/>
            <w:r>
              <w:rPr>
                <w:sz w:val="17"/>
              </w:rPr>
              <w:t>D4</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907"/>
            <w:shd w:val="clear" w:color="auto" w:fill="DCE6F2"/>
          </w:tcPr>
          <w:p>
            <w:pPr>
              <w:spacing w:after="20"/>
            </w:pPr>
            <w:r/>
            <w:r>
              <w:rPr>
                <w:b/>
                <w:sz w:val="17"/>
              </w:rPr>
              <w:t>Aplicaciones</w:t>
            </w:r>
          </w:p>
        </w:tc>
        <w:tc>
          <w:tcPr>
            <w:tcW w:type="dxa" w:w="3288"/>
            <w:shd w:val="clear" w:color="auto" w:fill="DCE6F2"/>
          </w:tcPr>
          <w:p>
            <w:pPr>
              <w:spacing w:after="20"/>
            </w:pPr>
            <w:r/>
            <w:r>
              <w:rPr>
                <w:b/>
                <w:sz w:val="17"/>
              </w:rPr>
              <w:t>AS-IS</w:t>
            </w:r>
          </w:p>
        </w:tc>
        <w:tc>
          <w:tcPr>
            <w:tcW w:type="dxa" w:w="2948"/>
            <w:shd w:val="clear" w:color="auto" w:fill="DCE6F2"/>
          </w:tcPr>
          <w:p>
            <w:pPr>
              <w:spacing w:after="20"/>
            </w:pPr>
            <w:r/>
            <w:r>
              <w:rPr>
                <w:b/>
                <w:sz w:val="17"/>
              </w:rPr>
              <w:t>TO-BE</w:t>
            </w:r>
          </w:p>
        </w:tc>
        <w:tc>
          <w:tcPr>
            <w:tcW w:type="dxa" w:w="1020"/>
            <w:shd w:val="clear" w:color="auto" w:fill="DCE6F2"/>
          </w:tcPr>
          <w:p>
            <w:pPr>
              <w:spacing w:after="20"/>
            </w:pPr>
            <w:r/>
            <w:r>
              <w:rPr>
                <w:b/>
                <w:sz w:val="17"/>
              </w:rPr>
              <w:t>Tipo</w:t>
            </w:r>
          </w:p>
        </w:tc>
        <w:tc>
          <w:tcPr>
            <w:tcW w:type="dxa" w:w="1020"/>
            <w:shd w:val="clear" w:color="auto" w:fill="DCE6F2"/>
          </w:tcPr>
          <w:p>
            <w:pPr>
              <w:spacing w:after="20"/>
            </w:pPr>
            <w:r/>
            <w:r>
              <w:rPr>
                <w:b/>
                <w:sz w:val="17"/>
              </w:rPr>
              <w:t>Iniciativa</w:t>
            </w:r>
          </w:p>
        </w:tc>
      </w:tr>
      <w:tr>
        <w:tc>
          <w:tcPr>
            <w:tcW w:type="dxa" w:w="907"/>
          </w:tcPr>
          <w:p>
            <w:pPr>
              <w:spacing w:after="20"/>
            </w:pPr>
            <w:r/>
            <w:r>
              <w:rPr>
                <w:sz w:val="17"/>
              </w:rPr>
              <w:t>G-A1</w:t>
            </w:r>
          </w:p>
        </w:tc>
        <w:tc>
          <w:tcPr>
            <w:tcW w:type="dxa" w:w="3288"/>
          </w:tcPr>
          <w:p>
            <w:pPr>
              <w:spacing w:after="20"/>
            </w:pPr>
            <w:r/>
            <w:r>
              <w:rPr>
                <w:sz w:val="17"/>
              </w:rPr>
              <w:t>FACT-SALUD lee tablas de HIS-CORE sin contrato</w:t>
            </w:r>
          </w:p>
        </w:tc>
        <w:tc>
          <w:tcPr>
            <w:tcW w:type="dxa" w:w="2948"/>
          </w:tcPr>
          <w:p>
            <w:pPr>
              <w:spacing w:after="20"/>
            </w:pPr>
            <w:r/>
            <w:r>
              <w:rPr>
                <w:sz w:val="17"/>
              </w:rPr>
              <w:t>Interfaz publicada y versionada, con pruebas de contrato</w:t>
            </w:r>
          </w:p>
        </w:tc>
        <w:tc>
          <w:tcPr>
            <w:tcW w:type="dxa" w:w="1020"/>
          </w:tcPr>
          <w:p>
            <w:pPr>
              <w:spacing w:after="20"/>
            </w:pPr>
            <w:r/>
            <w:r>
              <w:rPr>
                <w:sz w:val="17"/>
              </w:rPr>
              <w:t>Eliminar</w:t>
            </w:r>
          </w:p>
        </w:tc>
        <w:tc>
          <w:tcPr>
            <w:tcW w:type="dxa" w:w="1020"/>
          </w:tcPr>
          <w:p>
            <w:pPr>
              <w:spacing w:after="20"/>
            </w:pPr>
            <w:r/>
            <w:r>
              <w:rPr>
                <w:sz w:val="17"/>
              </w:rPr>
              <w:t>A2</w:t>
            </w:r>
          </w:p>
        </w:tc>
      </w:tr>
      <w:tr>
        <w:tc>
          <w:tcPr>
            <w:tcW w:type="dxa" w:w="907"/>
          </w:tcPr>
          <w:p>
            <w:pPr>
              <w:spacing w:after="20"/>
            </w:pPr>
            <w:r/>
            <w:r>
              <w:rPr>
                <w:sz w:val="17"/>
              </w:rPr>
              <w:t>G-A2</w:t>
            </w:r>
          </w:p>
        </w:tc>
        <w:tc>
          <w:tcPr>
            <w:tcW w:type="dxa" w:w="3288"/>
          </w:tcPr>
          <w:p>
            <w:pPr>
              <w:spacing w:after="20"/>
            </w:pPr>
            <w:r/>
            <w:r>
              <w:rPr>
                <w:sz w:val="17"/>
              </w:rPr>
              <w:t>PORTAL-B2B consulta la base de LIS-LAB (excepción de la Unidad 3, vence en el mes 4)</w:t>
            </w:r>
          </w:p>
        </w:tc>
        <w:tc>
          <w:tcPr>
            <w:tcW w:type="dxa" w:w="2948"/>
          </w:tcPr>
          <w:p>
            <w:pPr>
              <w:spacing w:after="20"/>
            </w:pPr>
            <w:r/>
            <w:r>
              <w:rPr>
                <w:sz w:val="17"/>
              </w:rPr>
              <w:t>API de resultados sobre el bus</w:t>
            </w:r>
          </w:p>
        </w:tc>
        <w:tc>
          <w:tcPr>
            <w:tcW w:type="dxa" w:w="1020"/>
          </w:tcPr>
          <w:p>
            <w:pPr>
              <w:spacing w:after="20"/>
            </w:pPr>
            <w:r/>
            <w:r>
              <w:rPr>
                <w:sz w:val="17"/>
              </w:rPr>
              <w:t>Eliminar</w:t>
            </w:r>
          </w:p>
        </w:tc>
        <w:tc>
          <w:tcPr>
            <w:tcW w:type="dxa" w:w="1020"/>
          </w:tcPr>
          <w:p>
            <w:pPr>
              <w:spacing w:after="20"/>
            </w:pPr>
            <w:r/>
            <w:r>
              <w:rPr>
                <w:sz w:val="17"/>
              </w:rPr>
              <w:t>A3</w:t>
            </w:r>
          </w:p>
        </w:tc>
      </w:tr>
      <w:tr>
        <w:tc>
          <w:tcPr>
            <w:tcW w:type="dxa" w:w="907"/>
          </w:tcPr>
          <w:p>
            <w:pPr>
              <w:spacing w:after="20"/>
            </w:pPr>
            <w:r/>
            <w:r>
              <w:rPr>
                <w:sz w:val="17"/>
              </w:rPr>
              <w:t>G-A3</w:t>
            </w:r>
          </w:p>
        </w:tc>
        <w:tc>
          <w:tcPr>
            <w:tcW w:type="dxa" w:w="3288"/>
          </w:tcPr>
          <w:p>
            <w:pPr>
              <w:spacing w:after="20"/>
            </w:pPr>
            <w:r/>
            <w:r>
              <w:rPr>
                <w:sz w:val="17"/>
              </w:rPr>
              <w:t>HIS-NORTE no tiene interfaz con LIS-LAB ni con FACT-SALUD</w:t>
            </w:r>
          </w:p>
        </w:tc>
        <w:tc>
          <w:tcPr>
            <w:tcW w:type="dxa" w:w="2948"/>
          </w:tcPr>
          <w:p>
            <w:pPr>
              <w:spacing w:after="20"/>
            </w:pPr>
            <w:r/>
            <w:r>
              <w:rPr>
                <w:sz w:val="17"/>
              </w:rPr>
              <w:t>Adaptador de HIS-NORTE sobre el bus</w:t>
            </w:r>
          </w:p>
        </w:tc>
        <w:tc>
          <w:tcPr>
            <w:tcW w:type="dxa" w:w="1020"/>
          </w:tcPr>
          <w:p>
            <w:pPr>
              <w:spacing w:after="20"/>
            </w:pPr>
            <w:r/>
            <w:r>
              <w:rPr>
                <w:sz w:val="17"/>
              </w:rPr>
              <w:t>Nuevo</w:t>
            </w:r>
          </w:p>
        </w:tc>
        <w:tc>
          <w:tcPr>
            <w:tcW w:type="dxa" w:w="1020"/>
          </w:tcPr>
          <w:p>
            <w:pPr>
              <w:spacing w:after="20"/>
            </w:pPr>
            <w:r/>
            <w:r>
              <w:rPr>
                <w:sz w:val="17"/>
              </w:rPr>
              <w:t>D2, A4</w:t>
            </w:r>
          </w:p>
        </w:tc>
      </w:tr>
      <w:tr>
        <w:tc>
          <w:tcPr>
            <w:tcW w:type="dxa" w:w="907"/>
          </w:tcPr>
          <w:p>
            <w:pPr>
              <w:spacing w:after="20"/>
            </w:pPr>
            <w:r/>
            <w:r>
              <w:rPr>
                <w:sz w:val="17"/>
              </w:rPr>
              <w:t>G-A4</w:t>
            </w:r>
          </w:p>
        </w:tc>
        <w:tc>
          <w:tcPr>
            <w:tcW w:type="dxa" w:w="3288"/>
          </w:tcPr>
          <w:p>
            <w:pPr>
              <w:spacing w:after="20"/>
            </w:pPr>
            <w:r/>
            <w:r>
              <w:rPr>
                <w:sz w:val="17"/>
              </w:rPr>
              <w:t>Dos agendas que no se hablan (TELEMED y AGENDA-WEB)</w:t>
            </w:r>
          </w:p>
        </w:tc>
        <w:tc>
          <w:tcPr>
            <w:tcW w:type="dxa" w:w="2948"/>
          </w:tcPr>
          <w:p>
            <w:pPr>
              <w:spacing w:after="20"/>
            </w:pPr>
            <w:r/>
            <w:r>
              <w:rPr>
                <w:sz w:val="17"/>
              </w:rPr>
              <w:t>Una agenda maestra</w:t>
            </w:r>
          </w:p>
        </w:tc>
        <w:tc>
          <w:tcPr>
            <w:tcW w:type="dxa" w:w="1020"/>
          </w:tcPr>
          <w:p>
            <w:pPr>
              <w:spacing w:after="20"/>
            </w:pPr>
            <w:r/>
            <w:r>
              <w:rPr>
                <w:sz w:val="17"/>
              </w:rPr>
              <w:t>Eliminar</w:t>
            </w:r>
          </w:p>
        </w:tc>
        <w:tc>
          <w:tcPr>
            <w:tcW w:type="dxa" w:w="1020"/>
          </w:tcPr>
          <w:p>
            <w:pPr>
              <w:spacing w:after="20"/>
            </w:pPr>
            <w:r/>
            <w:r>
              <w:rPr>
                <w:sz w:val="17"/>
              </w:rPr>
              <w:t>N2</w:t>
            </w:r>
          </w:p>
        </w:tc>
      </w:tr>
      <w:tr>
        <w:tc>
          <w:tcPr>
            <w:tcW w:type="dxa" w:w="907"/>
          </w:tcPr>
          <w:p>
            <w:pPr>
              <w:spacing w:after="20"/>
            </w:pPr>
            <w:r/>
            <w:r>
              <w:rPr>
                <w:sz w:val="17"/>
              </w:rPr>
              <w:t>G-A5</w:t>
            </w:r>
          </w:p>
        </w:tc>
        <w:tc>
          <w:tcPr>
            <w:tcW w:type="dxa" w:w="3288"/>
          </w:tcPr>
          <w:p>
            <w:pPr>
              <w:spacing w:after="20"/>
            </w:pPr>
            <w:r/>
            <w:r>
              <w:rPr>
                <w:sz w:val="17"/>
              </w:rPr>
              <w:t>Ningún sistema produce el Resumen Digital de Atención</w:t>
            </w:r>
          </w:p>
        </w:tc>
        <w:tc>
          <w:tcPr>
            <w:tcW w:type="dxa" w:w="2948"/>
          </w:tcPr>
          <w:p>
            <w:pPr>
              <w:spacing w:after="20"/>
            </w:pPr>
            <w:r/>
            <w:r>
              <w:rPr>
                <w:sz w:val="17"/>
              </w:rPr>
              <w:t>Servicio único de RDA sobre el índice maestro</w:t>
            </w:r>
          </w:p>
        </w:tc>
        <w:tc>
          <w:tcPr>
            <w:tcW w:type="dxa" w:w="1020"/>
          </w:tcPr>
          <w:p>
            <w:pPr>
              <w:spacing w:after="20"/>
            </w:pPr>
            <w:r/>
            <w:r>
              <w:rPr>
                <w:sz w:val="17"/>
              </w:rPr>
              <w:t>Nuevo</w:t>
            </w:r>
          </w:p>
        </w:tc>
        <w:tc>
          <w:tcPr>
            <w:tcW w:type="dxa" w:w="1020"/>
          </w:tcPr>
          <w:p>
            <w:pPr>
              <w:spacing w:after="20"/>
            </w:pPr>
            <w:r/>
            <w:r>
              <w:rPr>
                <w:sz w:val="17"/>
              </w:rPr>
              <w:t>A5, A6</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907"/>
            <w:shd w:val="clear" w:color="auto" w:fill="DCE6F2"/>
          </w:tcPr>
          <w:p>
            <w:pPr>
              <w:spacing w:after="20"/>
            </w:pPr>
            <w:r/>
            <w:r>
              <w:rPr>
                <w:b/>
                <w:sz w:val="17"/>
              </w:rPr>
              <w:t>Tecnología</w:t>
            </w:r>
          </w:p>
        </w:tc>
        <w:tc>
          <w:tcPr>
            <w:tcW w:type="dxa" w:w="3288"/>
            <w:shd w:val="clear" w:color="auto" w:fill="DCE6F2"/>
          </w:tcPr>
          <w:p>
            <w:pPr>
              <w:spacing w:after="20"/>
            </w:pPr>
            <w:r/>
            <w:r>
              <w:rPr>
                <w:b/>
                <w:sz w:val="17"/>
              </w:rPr>
              <w:t>AS-IS</w:t>
            </w:r>
          </w:p>
        </w:tc>
        <w:tc>
          <w:tcPr>
            <w:tcW w:type="dxa" w:w="2948"/>
            <w:shd w:val="clear" w:color="auto" w:fill="DCE6F2"/>
          </w:tcPr>
          <w:p>
            <w:pPr>
              <w:spacing w:after="20"/>
            </w:pPr>
            <w:r/>
            <w:r>
              <w:rPr>
                <w:b/>
                <w:sz w:val="17"/>
              </w:rPr>
              <w:t>TO-BE</w:t>
            </w:r>
          </w:p>
        </w:tc>
        <w:tc>
          <w:tcPr>
            <w:tcW w:type="dxa" w:w="1020"/>
            <w:shd w:val="clear" w:color="auto" w:fill="DCE6F2"/>
          </w:tcPr>
          <w:p>
            <w:pPr>
              <w:spacing w:after="20"/>
            </w:pPr>
            <w:r/>
            <w:r>
              <w:rPr>
                <w:b/>
                <w:sz w:val="17"/>
              </w:rPr>
              <w:t>Tipo</w:t>
            </w:r>
          </w:p>
        </w:tc>
        <w:tc>
          <w:tcPr>
            <w:tcW w:type="dxa" w:w="1020"/>
            <w:shd w:val="clear" w:color="auto" w:fill="DCE6F2"/>
          </w:tcPr>
          <w:p>
            <w:pPr>
              <w:spacing w:after="20"/>
            </w:pPr>
            <w:r/>
            <w:r>
              <w:rPr>
                <w:b/>
                <w:sz w:val="17"/>
              </w:rPr>
              <w:t>Iniciativa</w:t>
            </w:r>
          </w:p>
        </w:tc>
      </w:tr>
      <w:tr>
        <w:tc>
          <w:tcPr>
            <w:tcW w:type="dxa" w:w="907"/>
          </w:tcPr>
          <w:p>
            <w:pPr>
              <w:spacing w:after="20"/>
            </w:pPr>
            <w:r/>
            <w:r>
              <w:rPr>
                <w:sz w:val="17"/>
              </w:rPr>
              <w:t>G-T1</w:t>
            </w:r>
          </w:p>
        </w:tc>
        <w:tc>
          <w:tcPr>
            <w:tcW w:type="dxa" w:w="3288"/>
          </w:tcPr>
          <w:p>
            <w:pPr>
              <w:spacing w:after="20"/>
            </w:pPr>
            <w:r/>
            <w:r>
              <w:rPr>
                <w:sz w:val="17"/>
              </w:rPr>
              <w:t>Sin monitoreo de servicio: los incidentes los reporta el usuario</w:t>
            </w:r>
          </w:p>
        </w:tc>
        <w:tc>
          <w:tcPr>
            <w:tcW w:type="dxa" w:w="2948"/>
          </w:tcPr>
          <w:p>
            <w:pPr>
              <w:spacing w:after="20"/>
            </w:pPr>
            <w:r/>
            <w:r>
              <w:rPr>
                <w:sz w:val="17"/>
              </w:rPr>
              <w:t>Monitoreo de extremo a extremo de los cuatro flujos críticos</w:t>
            </w:r>
          </w:p>
        </w:tc>
        <w:tc>
          <w:tcPr>
            <w:tcW w:type="dxa" w:w="1020"/>
          </w:tcPr>
          <w:p>
            <w:pPr>
              <w:spacing w:after="20"/>
            </w:pPr>
            <w:r/>
            <w:r>
              <w:rPr>
                <w:sz w:val="17"/>
              </w:rPr>
              <w:t>Nuevo</w:t>
            </w:r>
          </w:p>
        </w:tc>
        <w:tc>
          <w:tcPr>
            <w:tcW w:type="dxa" w:w="1020"/>
          </w:tcPr>
          <w:p>
            <w:pPr>
              <w:spacing w:after="20"/>
            </w:pPr>
            <w:r/>
            <w:r>
              <w:rPr>
                <w:sz w:val="17"/>
              </w:rPr>
              <w:t>T1</w:t>
            </w:r>
          </w:p>
        </w:tc>
      </w:tr>
      <w:tr>
        <w:tc>
          <w:tcPr>
            <w:tcW w:type="dxa" w:w="907"/>
          </w:tcPr>
          <w:p>
            <w:pPr>
              <w:spacing w:after="20"/>
            </w:pPr>
            <w:r/>
            <w:r>
              <w:rPr>
                <w:sz w:val="17"/>
              </w:rPr>
              <w:t>G-T2</w:t>
            </w:r>
          </w:p>
        </w:tc>
        <w:tc>
          <w:tcPr>
            <w:tcW w:type="dxa" w:w="3288"/>
          </w:tcPr>
          <w:p>
            <w:pPr>
              <w:spacing w:after="20"/>
            </w:pPr>
            <w:r/>
            <w:r>
              <w:rPr>
                <w:sz w:val="17"/>
              </w:rPr>
              <w:t>Plan de recuperación de 2019 nunca probado; urgencias en papel los domingos</w:t>
            </w:r>
          </w:p>
        </w:tc>
        <w:tc>
          <w:tcPr>
            <w:tcW w:type="dxa" w:w="2948"/>
          </w:tcPr>
          <w:p>
            <w:pPr>
              <w:spacing w:after="20"/>
            </w:pPr>
            <w:r/>
            <w:r>
              <w:rPr>
                <w:sz w:val="17"/>
              </w:rPr>
              <w:t>Modo degradado probado; plan de recuperación ejecutado una vez al año</w:t>
            </w:r>
          </w:p>
        </w:tc>
        <w:tc>
          <w:tcPr>
            <w:tcW w:type="dxa" w:w="1020"/>
          </w:tcPr>
          <w:p>
            <w:pPr>
              <w:spacing w:after="20"/>
            </w:pPr>
            <w:r/>
            <w:r>
              <w:rPr>
                <w:sz w:val="17"/>
              </w:rPr>
              <w:t>Transformar</w:t>
            </w:r>
          </w:p>
        </w:tc>
        <w:tc>
          <w:tcPr>
            <w:tcW w:type="dxa" w:w="1020"/>
          </w:tcPr>
          <w:p>
            <w:pPr>
              <w:spacing w:after="20"/>
            </w:pPr>
            <w:r/>
            <w:r>
              <w:rPr>
                <w:sz w:val="17"/>
              </w:rPr>
              <w:t>T3</w:t>
            </w:r>
          </w:p>
        </w:tc>
      </w:tr>
      <w:tr>
        <w:tc>
          <w:tcPr>
            <w:tcW w:type="dxa" w:w="907"/>
          </w:tcPr>
          <w:p>
            <w:pPr>
              <w:spacing w:after="20"/>
            </w:pPr>
            <w:r/>
            <w:r>
              <w:rPr>
                <w:sz w:val="17"/>
              </w:rPr>
              <w:t>G-T3</w:t>
            </w:r>
          </w:p>
        </w:tc>
        <w:tc>
          <w:tcPr>
            <w:tcW w:type="dxa" w:w="3288"/>
          </w:tcPr>
          <w:p>
            <w:pPr>
              <w:spacing w:after="20"/>
            </w:pPr>
            <w:r/>
            <w:r>
              <w:rPr>
                <w:sz w:val="17"/>
              </w:rPr>
              <w:t>Tres servicios en dos nubes, sin lineamiento</w:t>
            </w:r>
          </w:p>
        </w:tc>
        <w:tc>
          <w:tcPr>
            <w:tcW w:type="dxa" w:w="2948"/>
          </w:tcPr>
          <w:p>
            <w:pPr>
              <w:spacing w:after="20"/>
            </w:pPr>
            <w:r/>
            <w:r>
              <w:rPr>
                <w:sz w:val="17"/>
              </w:rPr>
              <w:t>Catálogo de nubes aprobadas; el portal del paciente migrado a ellas</w:t>
            </w:r>
          </w:p>
        </w:tc>
        <w:tc>
          <w:tcPr>
            <w:tcW w:type="dxa" w:w="1020"/>
          </w:tcPr>
          <w:p>
            <w:pPr>
              <w:spacing w:after="20"/>
            </w:pPr>
            <w:r/>
            <w:r>
              <w:rPr>
                <w:sz w:val="17"/>
              </w:rPr>
              <w:t>Transformar</w:t>
            </w:r>
          </w:p>
        </w:tc>
        <w:tc>
          <w:tcPr>
            <w:tcW w:type="dxa" w:w="1020"/>
          </w:tcPr>
          <w:p>
            <w:pPr>
              <w:spacing w:after="20"/>
            </w:pPr>
            <w:r/>
            <w:r>
              <w:rPr>
                <w:sz w:val="17"/>
              </w:rPr>
              <w:t>T2</w:t>
            </w:r>
          </w:p>
        </w:tc>
      </w:tr>
      <w:tr>
        <w:tc>
          <w:tcPr>
            <w:tcW w:type="dxa" w:w="907"/>
          </w:tcPr>
          <w:p>
            <w:pPr>
              <w:spacing w:after="20"/>
            </w:pPr>
            <w:r/>
            <w:r>
              <w:rPr>
                <w:sz w:val="17"/>
              </w:rPr>
              <w:t>G-T4</w:t>
            </w:r>
          </w:p>
        </w:tc>
        <w:tc>
          <w:tcPr>
            <w:tcW w:type="dxa" w:w="3288"/>
          </w:tcPr>
          <w:p>
            <w:pPr>
              <w:spacing w:after="20"/>
            </w:pPr>
            <w:r/>
            <w:r>
              <w:rPr>
                <w:sz w:val="17"/>
              </w:rPr>
              <w:t>No hay sitio alterno</w:t>
            </w:r>
          </w:p>
        </w:tc>
        <w:tc>
          <w:tcPr>
            <w:tcW w:type="dxa" w:w="2948"/>
          </w:tcPr>
          <w:p>
            <w:pPr>
              <w:spacing w:after="20"/>
            </w:pPr>
            <w:r/>
            <w:r>
              <w:rPr>
                <w:sz w:val="17"/>
              </w:rPr>
              <w:t>Sitio alterno capaz de asumir la atención crítica</w:t>
            </w:r>
          </w:p>
        </w:tc>
        <w:tc>
          <w:tcPr>
            <w:tcW w:type="dxa" w:w="1020"/>
          </w:tcPr>
          <w:p>
            <w:pPr>
              <w:spacing w:after="20"/>
            </w:pPr>
            <w:r/>
            <w:r>
              <w:rPr>
                <w:sz w:val="17"/>
              </w:rPr>
              <w:t>Nuevo</w:t>
            </w:r>
          </w:p>
        </w:tc>
        <w:tc>
          <w:tcPr>
            <w:tcW w:type="dxa" w:w="1020"/>
          </w:tcPr>
          <w:p>
            <w:pPr>
              <w:spacing w:after="20"/>
            </w:pPr>
            <w:r/>
            <w:r>
              <w:rPr>
                <w:sz w:val="17"/>
              </w:rPr>
              <w:t>T4 (T+2)</w:t>
            </w:r>
          </w:p>
        </w:tc>
      </w:tr>
    </w:tbl>
    <w:p>
      <w:pPr>
        <w:spacing w:after="40"/>
      </w:pPr>
    </w:p>
    <w:p>
      <w:r>
        <w:rPr>
          <w:i/>
          <w:sz w:val="19"/>
        </w:rPr>
        <w:t>Tabla 17.</w:t>
      </w:r>
      <w:r>
        <w:rPr>
          <w:sz w:val="19"/>
        </w:rPr>
        <w:t xml:space="preserve"> Matriz de brechas por dominio.</w:t>
      </w:r>
    </w:p>
    <w:p>
      <w:pPr>
        <w:pStyle w:val="Heading1"/>
      </w:pPr>
      <w:r>
        <w:t>Anexo B. Vista de implementación y migración</w:t>
      </w:r>
    </w:p>
    <w:p>
      <w:pPr>
        <w:keepNext/>
        <w:jc w:val="center"/>
      </w:pPr>
      <w:r>
        <w:drawing>
          <wp:inline xmlns:a="http://schemas.openxmlformats.org/drawingml/2006/main" xmlns:pic="http://schemas.openxmlformats.org/drawingml/2006/picture">
            <wp:extent cx="3072000" cy="7200000"/>
            <wp:docPr id="5" name="Picture 5"/>
            <wp:cNvGraphicFramePr>
              <a:graphicFrameLocks noChangeAspect="1"/>
            </wp:cNvGraphicFramePr>
            <a:graphic>
              <a:graphicData uri="http://schemas.openxmlformats.org/drawingml/2006/picture">
                <pic:pic>
                  <pic:nvPicPr>
                    <pic:cNvPr id="0" name="fig5_migracion_girada.png"/>
                    <pic:cNvPicPr/>
                  </pic:nvPicPr>
                  <pic:blipFill>
                    <a:blip r:embed="rId14"/>
                    <a:stretch>
                      <a:fillRect/>
                    </a:stretch>
                  </pic:blipFill>
                  <pic:spPr>
                    <a:xfrm>
                      <a:off x="0" y="0"/>
                      <a:ext cx="3072000" cy="7200000"/>
                    </a:xfrm>
                    <a:prstGeom prst="rect"/>
                  </pic:spPr>
                </pic:pic>
              </a:graphicData>
            </a:graphic>
          </wp:inline>
        </w:drawing>
      </w:r>
    </w:p>
    <w:p>
      <w:pPr>
        <w:spacing w:after="160"/>
      </w:pPr>
      <w:r>
        <w:rPr>
          <w:i/>
          <w:sz w:val="19"/>
        </w:rPr>
        <w:t>Figura 5.</w:t>
      </w:r>
      <w:r>
        <w:rPr>
          <w:sz w:val="19"/>
        </w:rPr>
        <w:t xml:space="preserve"> Vista de implementación y migración: arquitecturas de transición (plateaus), brechas y paquetes de trabajo. Elaboración propia en notación ArchiMate 3.2.</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06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345A8A"/>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345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