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1565C0"/>
          <w:sz w:val="22"/>
        </w:rPr>
        <w:t>PROVEXPRESS S.A.S. | PROVEX ONE</w:t>
        <w:br/>
      </w:r>
      <w:r>
        <w:rPr>
          <w:rFonts w:ascii="Arial" w:hAnsi="Arial"/>
          <w:b/>
          <w:color w:val="1A2B6B"/>
          <w:sz w:val="44"/>
        </w:rPr>
        <w:t>INFORME DE ENTREGA TÉCNICA Y ARQUITECTURA DE SOFTWARE</w:t>
      </w:r>
    </w:p>
    <w:p>
      <w:pPr>
        <w:spacing w:before="80" w:after="560"/>
      </w:pPr>
      <w:r>
        <w:rPr>
          <w:rFonts w:ascii="Arial" w:hAnsi="Arial"/>
          <w:color w:val="64748B"/>
          <w:sz w:val="24"/>
        </w:rPr>
        <w:t>Plataforma Integral de Consulta, Comparación Multi-Mayorista y Cotización Comercial de Licencias Cloud (Microsoft 365, Acronis Cyber Cloud y Kaspersky)</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8FAFC"/>
          </w:tcPr>
          <w:p>
            <w:pPr>
              <w:spacing w:after="0"/>
            </w:pPr>
            <w:r>
              <w:rPr>
                <w:rFonts w:ascii="Arial" w:hAnsi="Arial"/>
                <w:b/>
                <w:color w:val="1A2B6B"/>
                <w:sz w:val="19"/>
              </w:rPr>
              <w:t>Proyecto:</w:t>
            </w:r>
          </w:p>
        </w:tc>
        <w:tc>
          <w:tcPr>
            <w:tcW w:type="dxa" w:w="6192"/>
            <w:tcMar>
              <w:top w:w="60" w:type="dxa"/>
              <w:bottom w:w="60" w:type="dxa"/>
              <w:left w:w="100" w:type="dxa"/>
              <w:right w:w="100" w:type="dxa"/>
            </w:tcMar>
            <w:shd w:fill="FFFFFF"/>
          </w:tcPr>
          <w:p>
            <w:pPr>
              <w:spacing w:after="0"/>
            </w:pPr>
            <w:r>
              <w:rPr>
                <w:rFonts w:ascii="Arial" w:hAnsi="Arial"/>
                <w:color w:val="1E293B"/>
                <w:sz w:val="19"/>
              </w:rPr>
              <w:t>Provex One - Plataforma Comercial Cloud</w:t>
            </w:r>
          </w:p>
        </w:tc>
      </w:tr>
      <w:tr>
        <w:tc>
          <w:tcPr>
            <w:tcW w:type="dxa" w:w="3168"/>
            <w:tcMar>
              <w:top w:w="60" w:type="dxa"/>
              <w:bottom w:w="60" w:type="dxa"/>
              <w:left w:w="100" w:type="dxa"/>
              <w:right w:w="100" w:type="dxa"/>
            </w:tcMar>
            <w:shd w:fill="F8FAFC"/>
          </w:tcPr>
          <w:p>
            <w:pPr>
              <w:spacing w:after="0"/>
            </w:pPr>
            <w:r>
              <w:rPr>
                <w:rFonts w:ascii="Arial" w:hAnsi="Arial"/>
                <w:b/>
                <w:color w:val="1A2B6B"/>
                <w:sz w:val="19"/>
              </w:rPr>
              <w:t>Versión del Software:</w:t>
            </w:r>
          </w:p>
        </w:tc>
        <w:tc>
          <w:tcPr>
            <w:tcW w:type="dxa" w:w="6192"/>
            <w:tcMar>
              <w:top w:w="60" w:type="dxa"/>
              <w:bottom w:w="60" w:type="dxa"/>
              <w:left w:w="100" w:type="dxa"/>
              <w:right w:w="100" w:type="dxa"/>
            </w:tcMar>
            <w:shd w:fill="FFFFFF"/>
          </w:tcPr>
          <w:p>
            <w:pPr>
              <w:spacing w:after="0"/>
            </w:pPr>
            <w:r>
              <w:rPr>
                <w:rFonts w:ascii="Arial" w:hAnsi="Arial"/>
                <w:color w:val="1E293B"/>
                <w:sz w:val="19"/>
              </w:rPr>
              <w:t>2.0 (Producción Oficial)</w:t>
            </w:r>
          </w:p>
        </w:tc>
      </w:tr>
      <w:tr>
        <w:tc>
          <w:tcPr>
            <w:tcW w:type="dxa" w:w="3168"/>
            <w:tcMar>
              <w:top w:w="60" w:type="dxa"/>
              <w:bottom w:w="60" w:type="dxa"/>
              <w:left w:w="100" w:type="dxa"/>
              <w:right w:w="100" w:type="dxa"/>
            </w:tcMar>
            <w:shd w:fill="F8FAFC"/>
          </w:tcPr>
          <w:p>
            <w:pPr>
              <w:spacing w:after="0"/>
            </w:pPr>
            <w:r>
              <w:rPr>
                <w:rFonts w:ascii="Arial" w:hAnsi="Arial"/>
                <w:b/>
                <w:color w:val="1A2B6B"/>
                <w:sz w:val="19"/>
              </w:rPr>
              <w:t>Fecha de Emisión:</w:t>
            </w:r>
          </w:p>
        </w:tc>
        <w:tc>
          <w:tcPr>
            <w:tcW w:type="dxa" w:w="6192"/>
            <w:tcMar>
              <w:top w:w="60" w:type="dxa"/>
              <w:bottom w:w="60" w:type="dxa"/>
              <w:left w:w="100" w:type="dxa"/>
              <w:right w:w="100" w:type="dxa"/>
            </w:tcMar>
            <w:shd w:fill="FFFFFF"/>
          </w:tcPr>
          <w:p>
            <w:pPr>
              <w:spacing w:after="0"/>
            </w:pPr>
            <w:r>
              <w:rPr>
                <w:rFonts w:ascii="Arial" w:hAnsi="Arial"/>
                <w:color w:val="1E293B"/>
                <w:sz w:val="19"/>
              </w:rPr>
              <w:t>02 de Octubre de 2026</w:t>
            </w:r>
          </w:p>
        </w:tc>
      </w:tr>
      <w:tr>
        <w:tc>
          <w:tcPr>
            <w:tcW w:type="dxa" w:w="3168"/>
            <w:tcMar>
              <w:top w:w="60" w:type="dxa"/>
              <w:bottom w:w="60" w:type="dxa"/>
              <w:left w:w="100" w:type="dxa"/>
              <w:right w:w="100" w:type="dxa"/>
            </w:tcMar>
            <w:shd w:fill="F8FAFC"/>
          </w:tcPr>
          <w:p>
            <w:pPr>
              <w:spacing w:after="0"/>
            </w:pPr>
            <w:r>
              <w:rPr>
                <w:rFonts w:ascii="Arial" w:hAnsi="Arial"/>
                <w:b/>
                <w:color w:val="1A2B6B"/>
                <w:sz w:val="19"/>
              </w:rPr>
              <w:t>Repositorio Oficial:</w:t>
            </w:r>
          </w:p>
        </w:tc>
        <w:tc>
          <w:tcPr>
            <w:tcW w:type="dxa" w:w="6192"/>
            <w:tcMar>
              <w:top w:w="60" w:type="dxa"/>
              <w:bottom w:w="60" w:type="dxa"/>
              <w:left w:w="100" w:type="dxa"/>
              <w:right w:w="100" w:type="dxa"/>
            </w:tcMar>
            <w:shd w:fill="FFFFFF"/>
          </w:tcPr>
          <w:p>
            <w:pPr>
              <w:spacing w:after="0"/>
            </w:pPr>
            <w:r>
              <w:rPr>
                <w:rFonts w:ascii="Arial" w:hAnsi="Arial"/>
                <w:color w:val="1E293B"/>
                <w:sz w:val="19"/>
              </w:rPr>
              <w:t>https://github.com/Provexpress/Provex-One</w:t>
            </w:r>
          </w:p>
        </w:tc>
      </w:tr>
      <w:tr>
        <w:tc>
          <w:tcPr>
            <w:tcW w:type="dxa" w:w="3168"/>
            <w:tcMar>
              <w:top w:w="60" w:type="dxa"/>
              <w:bottom w:w="60" w:type="dxa"/>
              <w:left w:w="100" w:type="dxa"/>
              <w:right w:w="100" w:type="dxa"/>
            </w:tcMar>
            <w:shd w:fill="F8FAFC"/>
          </w:tcPr>
          <w:p>
            <w:pPr>
              <w:spacing w:after="0"/>
            </w:pPr>
            <w:r>
              <w:rPr>
                <w:rFonts w:ascii="Arial" w:hAnsi="Arial"/>
                <w:b/>
                <w:color w:val="1A2B6B"/>
                <w:sz w:val="19"/>
              </w:rPr>
              <w:t>Estado del Proyecto:</w:t>
            </w:r>
          </w:p>
        </w:tc>
        <w:tc>
          <w:tcPr>
            <w:tcW w:type="dxa" w:w="6192"/>
            <w:tcMar>
              <w:top w:w="60" w:type="dxa"/>
              <w:bottom w:w="60" w:type="dxa"/>
              <w:left w:w="100" w:type="dxa"/>
              <w:right w:w="100" w:type="dxa"/>
            </w:tcMar>
            <w:shd w:fill="FFFFFF"/>
          </w:tcPr>
          <w:p>
            <w:pPr>
              <w:spacing w:after="0"/>
            </w:pPr>
            <w:r>
              <w:rPr>
                <w:rFonts w:ascii="Arial" w:hAnsi="Arial"/>
                <w:color w:val="1E293B"/>
                <w:sz w:val="19"/>
              </w:rPr>
              <w:t>Completado, Validado y Desplegado en GitHub Pages</w:t>
            </w:r>
          </w:p>
        </w:tc>
      </w:tr>
    </w:tbl>
    <w:p>
      <w:r>
        <w:br w:type="page"/>
      </w:r>
    </w:p>
    <w:p>
      <w:pPr>
        <w:pStyle w:val="Heading1"/>
        <w:keepNext/>
        <w:spacing w:before="360" w:after="120"/>
      </w:pPr>
      <w:r>
        <w:rPr>
          <w:rFonts w:ascii="Arial" w:hAnsi="Arial"/>
          <w:b/>
          <w:color w:val="1A2B6B"/>
          <w:sz w:val="34"/>
        </w:rPr>
        <w:t>1. Resumen Ejecutivo del Proyecto</w:t>
      </w:r>
    </w:p>
    <w:p>
      <w:pPr>
        <w:spacing w:after="120" w:line="276" w:lineRule="auto"/>
      </w:pPr>
      <w:r>
        <w:rPr>
          <w:rFonts w:ascii="Arial" w:hAnsi="Arial"/>
          <w:b/>
          <w:color w:val="1E293B"/>
          <w:sz w:val="20"/>
        </w:rPr>
        <w:t xml:space="preserve">Propósito Principal: </w:t>
      </w:r>
      <w:r>
        <w:rPr>
          <w:rFonts w:ascii="Arial" w:hAnsi="Arial"/>
          <w:color w:val="1E293B"/>
          <w:sz w:val="20"/>
        </w:rPr>
        <w:t>Provex One es la plataforma web corporativa desarrollada para Provexpress S.A.S. con el objetivo de centralizar, automatizar y agilizar el proceso de consulta, cálculo financiero y cotización de licenciamiento en la nube de los tres principales ecosistemas tecnológicos de la compañía: Microsoft 365 / Cloud, Acronis Cyber Cloud y Kaspersky Business Security.</w:t>
      </w:r>
    </w:p>
    <w:p>
      <w:pPr>
        <w:spacing w:after="120" w:line="276" w:lineRule="auto"/>
      </w:pPr>
      <w:r>
        <w:rPr>
          <w:rFonts w:ascii="Arial" w:hAnsi="Arial"/>
          <w:b/>
          <w:color w:val="1E293B"/>
          <w:sz w:val="20"/>
        </w:rPr>
        <w:t xml:space="preserve">Problemática Previa Resuelta: </w:t>
      </w:r>
      <w:r>
        <w:rPr>
          <w:rFonts w:ascii="Arial" w:hAnsi="Arial"/>
          <w:color w:val="1E293B"/>
          <w:sz w:val="20"/>
        </w:rPr>
        <w:t>Antes de la implementación de Provex One, el equipo comercial y técnico debía consultar manualmente múltiples listas de precios en formato Excel enviadas periódicamente por diferentes mayoristas (LOL, TD Synnex, entre otros). Esto generaba demoras en la respuesta al cliente, riesgo de error humano al transcribir costos, dificultades para comparar el mejor precio disponible y complejidad en la aplicación de las políticas comerciales de rentabilidad y TRM vigente.</w:t>
      </w:r>
    </w:p>
    <w:p>
      <w:pPr>
        <w:spacing w:after="120" w:line="276" w:lineRule="auto"/>
      </w:pPr>
      <w:r>
        <w:rPr>
          <w:rFonts w:ascii="Arial" w:hAnsi="Arial"/>
          <w:b/>
          <w:color w:val="1E293B"/>
          <w:sz w:val="20"/>
        </w:rPr>
        <w:t xml:space="preserve">Impacto Operativo: </w:t>
      </w:r>
      <w:r>
        <w:rPr>
          <w:rFonts w:ascii="Arial" w:hAnsi="Arial"/>
          <w:color w:val="1E293B"/>
          <w:sz w:val="20"/>
        </w:rPr>
        <w:t>La solución unifica miles de referencias comerciales en una Progressive Web App (PWA) de alto rendimiento, asegurada con Microsoft Entra ID (Single Sign-On), con cálculo automático e inviolable de rentabilidad mínima del 6%, cotización en pesos colombianos (COP) con TRM oficial en tiempo real, copia instantánea en formato WhatsApp y correo, y un panel exclusivo de actualización y publicación de precios directamente desde archivos Excel hacia GitHub Pages.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1565C0"/>
              <w:top w:val="none"/>
              <w:right w:val="none"/>
              <w:bottom w:val="none"/>
            </w:tcBorders>
          </w:tcPr>
          <w:p>
            <w:pPr>
              <w:spacing w:after="40"/>
            </w:pPr>
            <w:r>
              <w:rPr>
                <w:rFonts w:ascii="Arial" w:hAnsi="Arial"/>
                <w:b/>
                <w:color w:val="1565C0"/>
                <w:sz w:val="21"/>
              </w:rPr>
              <w:t>📌 Logros Clave de la Entrega</w:t>
              <w:br/>
            </w:r>
            <w:r>
              <w:rPr>
                <w:rFonts w:ascii="Arial" w:hAnsi="Arial"/>
                <w:color w:val="1E293B"/>
                <w:sz w:val="19"/>
              </w:rPr>
              <w:t>• Cero costos de infraestructura de servidor: Aplicación 100% serverless alojada en GitHub Pages.</w:t>
              <w:br/>
              <w:t>• Alta disponibilidad y modo offline: Funcionalidad PWA con Service Worker versión 53.</w:t>
              <w:br/>
              <w:t>• Seguridad corporativa total: Autenticación federada obligatoria con Microsoft 365.</w:t>
              <w:br/>
              <w:t>• Autonomía operativa: Panel administrativo para analista técnico sin requerir conocimientos de código para actualizar listas de precios.</w:t>
            </w:r>
          </w:p>
        </w:tc>
      </w:tr>
    </w:tbl>
    <w:p>
      <w:pPr>
        <w:spacing w:before="0" w:after="80"/>
      </w:pPr>
    </w:p>
    <w:p>
      <w:pPr>
        <w:pStyle w:val="Heading1"/>
        <w:keepNext/>
        <w:spacing w:before="360" w:after="120"/>
      </w:pPr>
      <w:r>
        <w:rPr>
          <w:rFonts w:ascii="Arial" w:hAnsi="Arial"/>
          <w:b/>
          <w:color w:val="1A2B6B"/>
          <w:sz w:val="34"/>
        </w:rPr>
        <w:t>2. Stack Tecnológico y Justificación Arquitectural</w:t>
      </w:r>
    </w:p>
    <w:p>
      <w:pPr>
        <w:spacing w:after="120" w:line="276" w:lineRule="auto"/>
      </w:pPr>
      <w:r>
        <w:rPr>
          <w:rFonts w:ascii="Arial" w:hAnsi="Arial"/>
          <w:color w:val="1E293B"/>
          <w:sz w:val="20"/>
        </w:rPr>
        <w:t>El desarrollo de Provex One se basó en una arquitectura cliente ligera, reactiva y sin dependencias de frameworks pesados, garantizando máxima velocidad, compatibilidad con cualquier dispositivo (PC, móvil, tablet) y vida útil prolongada sin obsolescencia técnica.</w:t>
      </w:r>
    </w:p>
    <w:tbl>
      <w:tblPr>
        <w:tblW w:type="auto" w:w="0"/>
        <w:jc w:val="center"/>
        <w:tblLook w:firstColumn="1" w:firstRow="1" w:lastColumn="0" w:lastRow="0" w:noHBand="0" w:noVBand="1" w:val="04A0"/>
      </w:tblPr>
      <w:tblGrid>
        <w:gridCol w:w="3120"/>
        <w:gridCol w:w="3120"/>
        <w:gridCol w:w="3120"/>
      </w:tblGrid>
      <w:tr>
        <w:tc>
          <w:tcPr>
            <w:tcW w:type="dxa" w:w="3120"/>
            <w:shd w:fill="1A2B6B"/>
            <w:tcMar>
              <w:top w:w="100" w:type="dxa"/>
              <w:bottom w:w="100" w:type="dxa"/>
              <w:left w:w="120" w:type="dxa"/>
              <w:right w:w="120" w:type="dxa"/>
            </w:tcMar>
          </w:tcPr>
          <w:p>
            <w:pPr>
              <w:spacing w:after="0"/>
            </w:pPr>
            <w:r>
              <w:rPr>
                <w:rFonts w:ascii="Arial" w:hAnsi="Arial"/>
                <w:b/>
                <w:color w:val="FFFFFF"/>
                <w:sz w:val="19"/>
              </w:rPr>
              <w:t>Componente / Capa</w:t>
            </w:r>
          </w:p>
        </w:tc>
        <w:tc>
          <w:tcPr>
            <w:tcW w:type="dxa" w:w="3120"/>
            <w:shd w:fill="1A2B6B"/>
            <w:tcMar>
              <w:top w:w="100" w:type="dxa"/>
              <w:bottom w:w="100" w:type="dxa"/>
              <w:left w:w="120" w:type="dxa"/>
              <w:right w:w="120" w:type="dxa"/>
            </w:tcMar>
          </w:tcPr>
          <w:p>
            <w:pPr>
              <w:spacing w:after="0"/>
            </w:pPr>
            <w:r>
              <w:rPr>
                <w:rFonts w:ascii="Arial" w:hAnsi="Arial"/>
                <w:b/>
                <w:color w:val="FFFFFF"/>
                <w:sz w:val="19"/>
              </w:rPr>
              <w:t>Tecnología Empleada</w:t>
            </w:r>
          </w:p>
        </w:tc>
        <w:tc>
          <w:tcPr>
            <w:tcW w:type="dxa" w:w="3120"/>
            <w:shd w:fill="1A2B6B"/>
            <w:tcMar>
              <w:top w:w="100" w:type="dxa"/>
              <w:bottom w:w="100" w:type="dxa"/>
              <w:left w:w="120" w:type="dxa"/>
              <w:right w:w="120" w:type="dxa"/>
            </w:tcMar>
          </w:tcPr>
          <w:p>
            <w:pPr>
              <w:spacing w:after="0"/>
            </w:pPr>
            <w:r>
              <w:rPr>
                <w:rFonts w:ascii="Arial" w:hAnsi="Arial"/>
                <w:b/>
                <w:color w:val="FFFFFF"/>
                <w:sz w:val="19"/>
              </w:rPr>
              <w:t>Justificación y Rol en la Solución</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Frontend Core</w:t>
            </w:r>
          </w:p>
        </w:tc>
        <w:tc>
          <w:tcPr>
            <w:tcW w:type="dxa" w:w="3120"/>
            <w:tcMar>
              <w:top w:w="70" w:type="dxa"/>
              <w:bottom w:w="70" w:type="dxa"/>
              <w:left w:w="100" w:type="dxa"/>
              <w:right w:w="100" w:type="dxa"/>
            </w:tcMar>
            <w:shd w:fill="FFFFFF"/>
          </w:tcPr>
          <w:p>
            <w:pPr>
              <w:spacing w:after="0"/>
            </w:pPr>
            <w:r>
              <w:rPr>
                <w:rFonts w:ascii="Arial" w:hAnsi="Arial"/>
                <w:color w:val="1E293B"/>
                <w:sz w:val="17"/>
              </w:rPr>
              <w:t>HTML5 Semántico + JavaScript ES6 Modular (ESM)</w:t>
            </w:r>
          </w:p>
        </w:tc>
        <w:tc>
          <w:tcPr>
            <w:tcW w:type="dxa" w:w="3120"/>
            <w:tcMar>
              <w:top w:w="70" w:type="dxa"/>
              <w:bottom w:w="70" w:type="dxa"/>
              <w:left w:w="100" w:type="dxa"/>
              <w:right w:w="100" w:type="dxa"/>
            </w:tcMar>
            <w:shd w:fill="FFFFFF"/>
          </w:tcPr>
          <w:p>
            <w:pPr>
              <w:spacing w:after="0"/>
            </w:pPr>
            <w:r>
              <w:rPr>
                <w:rFonts w:ascii="Arial" w:hAnsi="Arial"/>
                <w:color w:val="1E293B"/>
                <w:sz w:val="17"/>
              </w:rPr>
              <w:t>Carga instantánea sin bundlers pesados, separación estricta de responsabilidades por módulos (auth, search, acronis, kaspersky, admin).</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Diseño y UI</w:t>
            </w:r>
          </w:p>
        </w:tc>
        <w:tc>
          <w:tcPr>
            <w:tcW w:type="dxa" w:w="3120"/>
            <w:tcMar>
              <w:top w:w="70" w:type="dxa"/>
              <w:bottom w:w="70" w:type="dxa"/>
              <w:left w:w="100" w:type="dxa"/>
              <w:right w:w="100" w:type="dxa"/>
            </w:tcMar>
            <w:shd w:fill="FFFFFF"/>
          </w:tcPr>
          <w:p>
            <w:pPr>
              <w:spacing w:after="0"/>
            </w:pPr>
            <w:r>
              <w:rPr>
                <w:rFonts w:ascii="Arial" w:hAnsi="Arial"/>
                <w:color w:val="1E293B"/>
                <w:sz w:val="17"/>
              </w:rPr>
              <w:t>Tailwind CSS + CSS3 Vanilla Tokens + Flexbox/Grid</w:t>
            </w:r>
          </w:p>
        </w:tc>
        <w:tc>
          <w:tcPr>
            <w:tcW w:type="dxa" w:w="3120"/>
            <w:tcMar>
              <w:top w:w="70" w:type="dxa"/>
              <w:bottom w:w="70" w:type="dxa"/>
              <w:left w:w="100" w:type="dxa"/>
              <w:right w:w="100" w:type="dxa"/>
            </w:tcMar>
            <w:shd w:fill="FFFFFF"/>
          </w:tcPr>
          <w:p>
            <w:pPr>
              <w:spacing w:after="0"/>
            </w:pPr>
            <w:r>
              <w:rPr>
                <w:rFonts w:ascii="Arial" w:hAnsi="Arial"/>
                <w:color w:val="1E293B"/>
                <w:sz w:val="17"/>
              </w:rPr>
              <w:t>Interfaz moderna, consistente con la identidad Provexpress (#1A2B6B), completamente responsive para móviles y pantallas táctiles.</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Autenticación</w:t>
            </w:r>
          </w:p>
        </w:tc>
        <w:tc>
          <w:tcPr>
            <w:tcW w:type="dxa" w:w="3120"/>
            <w:tcMar>
              <w:top w:w="70" w:type="dxa"/>
              <w:bottom w:w="70" w:type="dxa"/>
              <w:left w:w="100" w:type="dxa"/>
              <w:right w:w="100" w:type="dxa"/>
            </w:tcMar>
            <w:shd w:fill="FFFFFF"/>
          </w:tcPr>
          <w:p>
            <w:pPr>
              <w:spacing w:after="0"/>
            </w:pPr>
            <w:r>
              <w:rPr>
                <w:rFonts w:ascii="Arial" w:hAnsi="Arial"/>
                <w:color w:val="1E293B"/>
                <w:sz w:val="17"/>
              </w:rPr>
              <w:t>Microsoft Entra ID (Azure AD) + @azure/msal-browser 2.38.3</w:t>
            </w:r>
          </w:p>
        </w:tc>
        <w:tc>
          <w:tcPr>
            <w:tcW w:type="dxa" w:w="3120"/>
            <w:tcMar>
              <w:top w:w="70" w:type="dxa"/>
              <w:bottom w:w="70" w:type="dxa"/>
              <w:left w:w="100" w:type="dxa"/>
              <w:right w:w="100" w:type="dxa"/>
            </w:tcMar>
            <w:shd w:fill="FFFFFF"/>
          </w:tcPr>
          <w:p>
            <w:pPr>
              <w:spacing w:after="0"/>
            </w:pPr>
            <w:r>
              <w:rPr>
                <w:rFonts w:ascii="Arial" w:hAnsi="Arial"/>
                <w:color w:val="1E293B"/>
                <w:sz w:val="17"/>
              </w:rPr>
              <w:t>Single Sign-On (SSO) corporativo seguro con flujo PKCE y single-tenant. Bloquea accesos no autorizados ajenos a Provexpress.</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PWA / Offline</w:t>
            </w:r>
          </w:p>
        </w:tc>
        <w:tc>
          <w:tcPr>
            <w:tcW w:type="dxa" w:w="3120"/>
            <w:tcMar>
              <w:top w:w="70" w:type="dxa"/>
              <w:bottom w:w="70" w:type="dxa"/>
              <w:left w:w="100" w:type="dxa"/>
              <w:right w:w="100" w:type="dxa"/>
            </w:tcMar>
            <w:shd w:fill="FFFFFF"/>
          </w:tcPr>
          <w:p>
            <w:pPr>
              <w:spacing w:after="0"/>
            </w:pPr>
            <w:r>
              <w:rPr>
                <w:rFonts w:ascii="Arial" w:hAnsi="Arial"/>
                <w:color w:val="1E293B"/>
                <w:sz w:val="17"/>
              </w:rPr>
              <w:t>Service Worker (Cache API) + Web App Manifest</w:t>
            </w:r>
          </w:p>
        </w:tc>
        <w:tc>
          <w:tcPr>
            <w:tcW w:type="dxa" w:w="3120"/>
            <w:tcMar>
              <w:top w:w="70" w:type="dxa"/>
              <w:bottom w:w="70" w:type="dxa"/>
              <w:left w:w="100" w:type="dxa"/>
              <w:right w:w="100" w:type="dxa"/>
            </w:tcMar>
            <w:shd w:fill="FFFFFF"/>
          </w:tcPr>
          <w:p>
            <w:pPr>
              <w:spacing w:after="0"/>
            </w:pPr>
            <w:r>
              <w:rPr>
                <w:rFonts w:ascii="Arial" w:hAnsi="Arial"/>
                <w:color w:val="1E293B"/>
                <w:sz w:val="17"/>
              </w:rPr>
              <w:t>Permite instalar Provex One como aplicación nativa en Windows, Android e iOS. Funciona de manera confiable aún con intermitencia de red.</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Lector de Excel en Cliente</w:t>
            </w:r>
          </w:p>
        </w:tc>
        <w:tc>
          <w:tcPr>
            <w:tcW w:type="dxa" w:w="3120"/>
            <w:tcMar>
              <w:top w:w="70" w:type="dxa"/>
              <w:bottom w:w="70" w:type="dxa"/>
              <w:left w:w="100" w:type="dxa"/>
              <w:right w:w="100" w:type="dxa"/>
            </w:tcMar>
            <w:shd w:fill="FFFFFF"/>
          </w:tcPr>
          <w:p>
            <w:pPr>
              <w:spacing w:after="0"/>
            </w:pPr>
            <w:r>
              <w:rPr>
                <w:rFonts w:ascii="Arial" w:hAnsi="Arial"/>
                <w:color w:val="1E293B"/>
                <w:sz w:val="17"/>
              </w:rPr>
              <w:t>SheetJS (xlsx.full.min.js v0.18.5)</w:t>
            </w:r>
          </w:p>
        </w:tc>
        <w:tc>
          <w:tcPr>
            <w:tcW w:type="dxa" w:w="3120"/>
            <w:tcMar>
              <w:top w:w="70" w:type="dxa"/>
              <w:bottom w:w="70" w:type="dxa"/>
              <w:left w:w="100" w:type="dxa"/>
              <w:right w:w="100" w:type="dxa"/>
            </w:tcMar>
            <w:shd w:fill="FFFFFF"/>
          </w:tcPr>
          <w:p>
            <w:pPr>
              <w:spacing w:after="0"/>
            </w:pPr>
            <w:r>
              <w:rPr>
                <w:rFonts w:ascii="Arial" w:hAnsi="Arial"/>
                <w:color w:val="1E293B"/>
                <w:sz w:val="17"/>
              </w:rPr>
              <w:t>Procesa archivos Excel (.xlsx) de gran tamaño directamente en la memoria del navegador del analista, sin enviar datos a servidores externos.</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Publicación CI/CD</w:t>
            </w:r>
          </w:p>
        </w:tc>
        <w:tc>
          <w:tcPr>
            <w:tcW w:type="dxa" w:w="3120"/>
            <w:tcMar>
              <w:top w:w="70" w:type="dxa"/>
              <w:bottom w:w="70" w:type="dxa"/>
              <w:left w:w="100" w:type="dxa"/>
              <w:right w:w="100" w:type="dxa"/>
            </w:tcMar>
            <w:shd w:fill="FFFFFF"/>
          </w:tcPr>
          <w:p>
            <w:pPr>
              <w:spacing w:after="0"/>
            </w:pPr>
            <w:r>
              <w:rPr>
                <w:rFonts w:ascii="Arial" w:hAnsi="Arial"/>
                <w:color w:val="1E293B"/>
                <w:sz w:val="17"/>
              </w:rPr>
              <w:t>GitHub REST API v3 (Contents API) + GitHub Pages</w:t>
            </w:r>
          </w:p>
        </w:tc>
        <w:tc>
          <w:tcPr>
            <w:tcW w:type="dxa" w:w="3120"/>
            <w:tcMar>
              <w:top w:w="70" w:type="dxa"/>
              <w:bottom w:w="70" w:type="dxa"/>
              <w:left w:w="100" w:type="dxa"/>
              <w:right w:w="100" w:type="dxa"/>
            </w:tcMar>
            <w:shd w:fill="FFFFFF"/>
          </w:tcPr>
          <w:p>
            <w:pPr>
              <w:spacing w:after="0"/>
            </w:pPr>
            <w:r>
              <w:rPr>
                <w:rFonts w:ascii="Arial" w:hAnsi="Arial"/>
                <w:color w:val="1E293B"/>
                <w:sz w:val="17"/>
              </w:rPr>
              <w:t>Permite al analista hacer commits directos de los catálogos JSON generados desde el navegador. GitHub Pages despliega a producción en 1-2 minutos.</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Tasa de Cambio (TRM)</w:t>
            </w:r>
          </w:p>
        </w:tc>
        <w:tc>
          <w:tcPr>
            <w:tcW w:type="dxa" w:w="3120"/>
            <w:tcMar>
              <w:top w:w="70" w:type="dxa"/>
              <w:bottom w:w="70" w:type="dxa"/>
              <w:left w:w="100" w:type="dxa"/>
              <w:right w:w="100" w:type="dxa"/>
            </w:tcMar>
            <w:shd w:fill="FFFFFF"/>
          </w:tcPr>
          <w:p>
            <w:pPr>
              <w:spacing w:after="0"/>
            </w:pPr>
            <w:r>
              <w:rPr>
                <w:rFonts w:ascii="Arial" w:hAnsi="Arial"/>
                <w:color w:val="1E293B"/>
                <w:sz w:val="17"/>
              </w:rPr>
              <w:t>Integración API TRM Colombia (Fallback dinámico)</w:t>
            </w:r>
          </w:p>
        </w:tc>
        <w:tc>
          <w:tcPr>
            <w:tcW w:type="dxa" w:w="3120"/>
            <w:tcMar>
              <w:top w:w="70" w:type="dxa"/>
              <w:bottom w:w="70" w:type="dxa"/>
              <w:left w:w="100" w:type="dxa"/>
              <w:right w:w="100" w:type="dxa"/>
            </w:tcMar>
            <w:shd w:fill="FFFFFF"/>
          </w:tcPr>
          <w:p>
            <w:pPr>
              <w:spacing w:after="0"/>
            </w:pPr>
            <w:r>
              <w:rPr>
                <w:rFonts w:ascii="Arial" w:hAnsi="Arial"/>
                <w:color w:val="1E293B"/>
                <w:sz w:val="17"/>
              </w:rPr>
              <w:t>Consulta automática de la tasa oficial del día con actualización reactiva en todos los módulos y posibilidad de ajuste manual de simulación.</w:t>
            </w:r>
          </w:p>
        </w:tc>
      </w:tr>
      <w:tr>
        <w:tc>
          <w:tcPr>
            <w:tcW w:type="dxa" w:w="3120"/>
            <w:tcMar>
              <w:top w:w="70" w:type="dxa"/>
              <w:bottom w:w="70" w:type="dxa"/>
              <w:left w:w="100" w:type="dxa"/>
              <w:right w:w="100" w:type="dxa"/>
            </w:tcMar>
            <w:shd w:fill="F8FAFC"/>
          </w:tcPr>
          <w:p>
            <w:pPr>
              <w:spacing w:after="0"/>
            </w:pPr>
            <w:r>
              <w:rPr>
                <w:rFonts w:ascii="Arial" w:hAnsi="Arial"/>
                <w:b/>
                <w:color w:val="1A2B6B"/>
                <w:sz w:val="17"/>
              </w:rPr>
              <w:t>ETL / Extracción</w:t>
            </w:r>
          </w:p>
        </w:tc>
        <w:tc>
          <w:tcPr>
            <w:tcW w:type="dxa" w:w="3120"/>
            <w:tcMar>
              <w:top w:w="70" w:type="dxa"/>
              <w:bottom w:w="70" w:type="dxa"/>
              <w:left w:w="100" w:type="dxa"/>
              <w:right w:w="100" w:type="dxa"/>
            </w:tcMar>
            <w:shd w:fill="FFFFFF"/>
          </w:tcPr>
          <w:p>
            <w:pPr>
              <w:spacing w:after="0"/>
            </w:pPr>
            <w:r>
              <w:rPr>
                <w:rFonts w:ascii="Arial" w:hAnsi="Arial"/>
                <w:color w:val="1E293B"/>
                <w:sz w:val="17"/>
              </w:rPr>
              <w:t>Python 3.10+ (Scripts nativos en extractors/)</w:t>
            </w:r>
          </w:p>
        </w:tc>
        <w:tc>
          <w:tcPr>
            <w:tcW w:type="dxa" w:w="3120"/>
            <w:tcMar>
              <w:top w:w="70" w:type="dxa"/>
              <w:bottom w:w="70" w:type="dxa"/>
              <w:left w:w="100" w:type="dxa"/>
              <w:right w:w="100" w:type="dxa"/>
            </w:tcMar>
            <w:shd w:fill="FFFFFF"/>
          </w:tcPr>
          <w:p>
            <w:pPr>
              <w:spacing w:after="0"/>
            </w:pPr>
            <w:r>
              <w:rPr>
                <w:rFonts w:ascii="Arial" w:hAnsi="Arial"/>
                <w:color w:val="1E293B"/>
                <w:sz w:val="17"/>
              </w:rPr>
              <w:t>Herramientas de respaldo para extracción masiva local, auditoría y cruce de datos con librerías estándar.</w:t>
            </w:r>
          </w:p>
        </w:tc>
      </w:tr>
    </w:tbl>
    <w:p>
      <w:pPr>
        <w:spacing w:after="80"/>
      </w:pPr>
    </w:p>
    <w:p>
      <w:pPr>
        <w:pStyle w:val="Heading1"/>
        <w:keepNext/>
        <w:spacing w:before="360" w:after="120"/>
      </w:pPr>
      <w:r>
        <w:rPr>
          <w:rFonts w:ascii="Arial" w:hAnsi="Arial"/>
          <w:b/>
          <w:color w:val="1A2B6B"/>
          <w:sz w:val="34"/>
        </w:rPr>
        <w:t>3. Módulos y Capacidades del Sistema</w:t>
      </w:r>
    </w:p>
    <w:p>
      <w:pPr>
        <w:pStyle w:val="Heading2"/>
        <w:keepNext/>
        <w:spacing w:before="280" w:after="80"/>
      </w:pPr>
      <w:r>
        <w:rPr>
          <w:rFonts w:ascii="Arial" w:hAnsi="Arial"/>
          <w:b/>
          <w:color w:val="1565C0"/>
          <w:sz w:val="26"/>
        </w:rPr>
        <w:t>3.1. Módulo Licencias Microsoft Cloud (3 Mayoristas)</w:t>
      </w:r>
    </w:p>
    <w:p>
      <w:pPr>
        <w:spacing w:after="120" w:line="276" w:lineRule="auto"/>
      </w:pPr>
      <w:r>
        <w:rPr>
          <w:rFonts w:ascii="Arial" w:hAnsi="Arial"/>
          <w:color w:val="1E293B"/>
          <w:sz w:val="20"/>
        </w:rPr>
        <w:t>Ubicado en el espacio de trabajo principal, este módulo permite consultar miles de referencias de licenciamiento Microsoft clasificadas con total precisión técnica:</w:t>
      </w:r>
    </w:p>
    <w:p>
      <w:pPr>
        <w:pStyle w:val="ListBullet"/>
        <w:spacing w:after="60" w:line="276" w:lineRule="auto"/>
      </w:pPr>
      <w:r>
        <w:rPr>
          <w:rFonts w:ascii="Arial" w:hAnsi="Arial"/>
          <w:b/>
          <w:color w:val="1E293B"/>
          <w:sz w:val="20"/>
        </w:rPr>
        <w:t>Estructura por Secciones:</w:t>
      </w:r>
      <w:r>
        <w:rPr>
          <w:rFonts w:ascii="Arial" w:hAnsi="Arial"/>
          <w:color w:val="1E293B"/>
          <w:sz w:val="20"/>
        </w:rPr>
        <w:t xml:space="preserve"> Clasificación automática entre NCE (New Commerce Experience), Suscripciones de Software y Licencias Perpetuas (pago único).</w:t>
      </w:r>
    </w:p>
    <w:p>
      <w:pPr>
        <w:pStyle w:val="ListBullet"/>
        <w:spacing w:after="60" w:line="276" w:lineRule="auto"/>
      </w:pPr>
      <w:r>
        <w:rPr>
          <w:rFonts w:ascii="Arial" w:hAnsi="Arial"/>
          <w:b/>
          <w:color w:val="1E293B"/>
          <w:sz w:val="20"/>
        </w:rPr>
        <w:t>Búsqueda Flexible:</w:t>
      </w:r>
      <w:r>
        <w:rPr>
          <w:rFonts w:ascii="Arial" w:hAnsi="Arial"/>
          <w:color w:val="1E293B"/>
          <w:sz w:val="20"/>
        </w:rPr>
        <w:t xml:space="preserve"> Motor de búsqueda inteligente con soporte de abreviaturas comunes ('m365', 'o365', 'bp', 'bs', 'bb', 'visio', 'copilot', 'intune', etc.), búsqueda por SKU o por nombre de producto.</w:t>
      </w:r>
    </w:p>
    <w:p>
      <w:pPr>
        <w:pStyle w:val="ListBullet"/>
        <w:spacing w:after="60" w:line="276" w:lineRule="auto"/>
      </w:pPr>
      <w:r>
        <w:rPr>
          <w:rFonts w:ascii="Arial" w:hAnsi="Arial"/>
          <w:b/>
          <w:color w:val="1E293B"/>
          <w:sz w:val="20"/>
        </w:rPr>
        <w:t>Comparativa Multi-Mayorista:</w:t>
      </w:r>
      <w:r>
        <w:rPr>
          <w:rFonts w:ascii="Arial" w:hAnsi="Arial"/>
          <w:color w:val="1E293B"/>
          <w:sz w:val="20"/>
        </w:rPr>
        <w:t xml:space="preserve"> Muestra los costos lado a lado entre mayoristas (LOL, TD Synnex, etc.), resaltando visualmente la mejor oferta disponible.</w:t>
      </w:r>
    </w:p>
    <w:p>
      <w:pPr>
        <w:pStyle w:val="ListBullet"/>
        <w:spacing w:after="60" w:line="276" w:lineRule="auto"/>
      </w:pPr>
      <w:r>
        <w:rPr>
          <w:rFonts w:ascii="Arial" w:hAnsi="Arial"/>
          <w:b/>
          <w:color w:val="1E293B"/>
          <w:sz w:val="20"/>
        </w:rPr>
        <w:t>Regla de Rentabilidad Protegida:</w:t>
      </w:r>
      <w:r>
        <w:rPr>
          <w:rFonts w:ascii="Arial" w:hAnsi="Arial"/>
          <w:color w:val="1E293B"/>
          <w:sz w:val="20"/>
        </w:rPr>
        <w:t xml:space="preserve"> Inviolabilidad del margen del 6%. El usuario puede incrementar el margen comercial deseado pero nunca cotizar por debajo del umbral mínimo corporativo.</w:t>
      </w:r>
    </w:p>
    <w:p>
      <w:pPr>
        <w:pStyle w:val="ListBullet"/>
        <w:spacing w:after="60" w:line="276" w:lineRule="auto"/>
      </w:pPr>
      <w:r>
        <w:rPr>
          <w:rFonts w:ascii="Arial" w:hAnsi="Arial"/>
          <w:b/>
          <w:color w:val="1E293B"/>
          <w:sz w:val="20"/>
        </w:rPr>
        <w:t>Valores COP y TRM:</w:t>
      </w:r>
      <w:r>
        <w:rPr>
          <w:rFonts w:ascii="Arial" w:hAnsi="Arial"/>
          <w:color w:val="1E293B"/>
          <w:sz w:val="20"/>
        </w:rPr>
        <w:t xml:space="preserve"> Conversión automática a COP basada en la TRM del día y cálculo de precio sugerido al cliente con y sin IVA.</w:t>
      </w:r>
    </w:p>
    <w:p>
      <w:pPr>
        <w:pStyle w:val="ListBullet"/>
        <w:spacing w:after="60" w:line="276" w:lineRule="auto"/>
      </w:pPr>
      <w:r>
        <w:rPr>
          <w:rFonts w:ascii="Arial" w:hAnsi="Arial"/>
          <w:b/>
          <w:color w:val="1E293B"/>
          <w:sz w:val="20"/>
        </w:rPr>
        <w:t>Exportación y Cotización Rápida:</w:t>
      </w:r>
      <w:r>
        <w:rPr>
          <w:rFonts w:ascii="Arial" w:hAnsi="Arial"/>
          <w:color w:val="1E293B"/>
          <w:sz w:val="20"/>
        </w:rPr>
        <w:t xml:space="preserve"> Permite marcar múltiples licencias y generar un resumen formateado para compartir vía WhatsApp o correo electrónico con un solo clic.</w:t>
      </w:r>
    </w:p>
    <w:p>
      <w:pPr>
        <w:pStyle w:val="Heading2"/>
        <w:keepNext/>
        <w:spacing w:before="280" w:after="80"/>
      </w:pPr>
      <w:r>
        <w:rPr>
          <w:rFonts w:ascii="Arial" w:hAnsi="Arial"/>
          <w:b/>
          <w:color w:val="1565C0"/>
          <w:sz w:val="26"/>
        </w:rPr>
        <w:t>3.2. Módulo Calculadora Acronis Cyber Cloud</w:t>
      </w:r>
    </w:p>
    <w:p>
      <w:pPr>
        <w:spacing w:after="120" w:line="276" w:lineRule="auto"/>
      </w:pPr>
      <w:r>
        <w:rPr>
          <w:rFonts w:ascii="Arial" w:hAnsi="Arial"/>
          <w:color w:val="1E293B"/>
          <w:sz w:val="20"/>
        </w:rPr>
        <w:t>Calculadora financiera especializada que digitaliza y simplifica las complejas matrices de licenciamiento de Acronis Cyber Protect Cloud:</w:t>
      </w:r>
    </w:p>
    <w:p>
      <w:pPr>
        <w:pStyle w:val="ListBullet"/>
        <w:spacing w:after="60" w:line="276" w:lineRule="auto"/>
      </w:pPr>
      <w:r>
        <w:rPr>
          <w:rFonts w:ascii="Arial" w:hAnsi="Arial"/>
          <w:b/>
          <w:color w:val="1E293B"/>
          <w:sz w:val="20"/>
        </w:rPr>
        <w:t>Doble Modalidad (Solution vs. Service):</w:t>
      </w:r>
      <w:r>
        <w:rPr>
          <w:rFonts w:ascii="Arial" w:hAnsi="Arial"/>
          <w:color w:val="1E293B"/>
          <w:sz w:val="20"/>
        </w:rPr>
        <w:t xml:space="preserve"> Soporta cotizaciones por paquete de solución integral (Security + RMM, Backup + DR, Ultimate Protection) o por servicio granular (Endpoint Security, SaaS Security, Backup, Disaster Recovery, etc.).</w:t>
      </w:r>
    </w:p>
    <w:p>
      <w:pPr>
        <w:pStyle w:val="ListBullet"/>
        <w:spacing w:after="60" w:line="276" w:lineRule="auto"/>
      </w:pPr>
      <w:r>
        <w:rPr>
          <w:rFonts w:ascii="Arial" w:hAnsi="Arial"/>
          <w:b/>
          <w:color w:val="1E293B"/>
          <w:sz w:val="20"/>
        </w:rPr>
        <w:t>Niveles de Compromiso (Commitment Tiers):</w:t>
      </w:r>
      <w:r>
        <w:rPr>
          <w:rFonts w:ascii="Arial" w:hAnsi="Arial"/>
          <w:color w:val="1E293B"/>
          <w:sz w:val="20"/>
        </w:rPr>
        <w:t xml:space="preserve"> Ajuste automático de tarifas por volumen desde el nivel 250 USD hasta 10.000 USD mensuales.</w:t>
      </w:r>
    </w:p>
    <w:p>
      <w:pPr>
        <w:pStyle w:val="ListBullet"/>
        <w:spacing w:after="60" w:line="276" w:lineRule="auto"/>
      </w:pPr>
      <w:r>
        <w:rPr>
          <w:rFonts w:ascii="Arial" w:hAnsi="Arial"/>
          <w:b/>
          <w:color w:val="1E293B"/>
          <w:sz w:val="20"/>
        </w:rPr>
        <w:t>Ubicación Geográfica y DCs:</w:t>
      </w:r>
      <w:r>
        <w:rPr>
          <w:rFonts w:ascii="Arial" w:hAnsi="Arial"/>
          <w:color w:val="1E293B"/>
          <w:sz w:val="20"/>
        </w:rPr>
        <w:t xml:space="preserve"> Soporte para centros de datos Grupo 1 (USA, Europa, Asia) y Grupo 2 (Johannesburg, Abu Dhabi, Taipei) con ajuste tarifario automático según la ubicación del cliente.</w:t>
      </w:r>
    </w:p>
    <w:p>
      <w:pPr>
        <w:pStyle w:val="ListBullet"/>
        <w:spacing w:after="60" w:line="276" w:lineRule="auto"/>
      </w:pPr>
      <w:r>
        <w:rPr>
          <w:rFonts w:ascii="Arial" w:hAnsi="Arial"/>
          <w:b/>
          <w:color w:val="1E293B"/>
          <w:sz w:val="20"/>
        </w:rPr>
        <w:t>Panel de Cotización Consolidada:</w:t>
      </w:r>
      <w:r>
        <w:rPr>
          <w:rFonts w:ascii="Arial" w:hAnsi="Arial"/>
          <w:color w:val="1E293B"/>
          <w:sz w:val="20"/>
        </w:rPr>
        <w:t xml:space="preserve"> Resumen flotante y responsive que totaliza costo mayorista, margen de rentabilidad, precio de venta en USD y COP, y desglose detallado de ítems seleccionados.</w:t>
      </w:r>
    </w:p>
    <w:p>
      <w:pPr>
        <w:pStyle w:val="Heading2"/>
        <w:keepNext/>
        <w:spacing w:before="280" w:after="80"/>
      </w:pPr>
      <w:r>
        <w:rPr>
          <w:rFonts w:ascii="Arial" w:hAnsi="Arial"/>
          <w:b/>
          <w:color w:val="1565C0"/>
          <w:sz w:val="26"/>
        </w:rPr>
        <w:t>3.3. Módulo Licencias Kaspersky Business Security</w:t>
      </w:r>
    </w:p>
    <w:p>
      <w:pPr>
        <w:spacing w:after="120" w:line="276" w:lineRule="auto"/>
      </w:pPr>
      <w:r>
        <w:rPr>
          <w:rFonts w:ascii="Arial" w:hAnsi="Arial"/>
          <w:color w:val="1E293B"/>
          <w:sz w:val="20"/>
        </w:rPr>
        <w:t>Módulo dedicado a soluciones de seguridad para estaciones de trabajo, servidores y entornos corporativos:</w:t>
      </w:r>
    </w:p>
    <w:p>
      <w:pPr>
        <w:pStyle w:val="ListBullet"/>
        <w:spacing w:after="60" w:line="276" w:lineRule="auto"/>
      </w:pPr>
      <w:r>
        <w:rPr>
          <w:rFonts w:ascii="Arial" w:hAnsi="Arial"/>
          <w:b/>
          <w:color w:val="1E293B"/>
          <w:sz w:val="20"/>
        </w:rPr>
        <w:t>Segmentación:</w:t>
      </w:r>
      <w:r>
        <w:rPr>
          <w:rFonts w:ascii="Arial" w:hAnsi="Arial"/>
          <w:color w:val="1E293B"/>
          <w:sz w:val="20"/>
        </w:rPr>
        <w:t xml:space="preserve"> Filtros por segmentos Commercial y Education, con diferenciación automática de precios.</w:t>
      </w:r>
    </w:p>
    <w:p>
      <w:pPr>
        <w:pStyle w:val="ListBullet"/>
        <w:spacing w:after="60" w:line="276" w:lineRule="auto"/>
      </w:pPr>
      <w:r>
        <w:rPr>
          <w:rFonts w:ascii="Arial" w:hAnsi="Arial"/>
          <w:b/>
          <w:color w:val="1E293B"/>
          <w:sz w:val="20"/>
        </w:rPr>
        <w:t>Duración y Rango de Nodos:</w:t>
      </w:r>
      <w:r>
        <w:rPr>
          <w:rFonts w:ascii="Arial" w:hAnsi="Arial"/>
          <w:color w:val="1E293B"/>
          <w:sz w:val="20"/>
        </w:rPr>
        <w:t xml:space="preserve"> Filtros por duración de la protección (1, 2 y 3 años) y escalado por cantidad de nodos protegidos (Tier 1 a Tier 4).</w:t>
      </w:r>
    </w:p>
    <w:p>
      <w:pPr>
        <w:pStyle w:val="ListBullet"/>
        <w:spacing w:after="60" w:line="276" w:lineRule="auto"/>
      </w:pPr>
      <w:r>
        <w:rPr>
          <w:rFonts w:ascii="Arial" w:hAnsi="Arial"/>
          <w:b/>
          <w:color w:val="1E293B"/>
          <w:sz w:val="20"/>
        </w:rPr>
        <w:t>Parámetros Flexibles:</w:t>
      </w:r>
      <w:r>
        <w:rPr>
          <w:rFonts w:ascii="Arial" w:hAnsi="Arial"/>
          <w:color w:val="1E293B"/>
          <w:sz w:val="20"/>
        </w:rPr>
        <w:t xml:space="preserve"> Ajuste dinámico de cantidad de licencias, porcentaje de ganancia comercial y conversión a TRM en tiempo real.</w:t>
      </w:r>
    </w:p>
    <w:p>
      <w:pPr>
        <w:pStyle w:val="Heading2"/>
        <w:keepNext/>
        <w:spacing w:before="280" w:after="80"/>
      </w:pPr>
      <w:r>
        <w:rPr>
          <w:rFonts w:ascii="Arial" w:hAnsi="Arial"/>
          <w:b/>
          <w:color w:val="1565C0"/>
          <w:sz w:val="26"/>
        </w:rPr>
        <w:t>3.4. Módulo Exclusivo de Carga y Publicación de Precios</w:t>
      </w:r>
    </w:p>
    <w:p>
      <w:pPr>
        <w:spacing w:after="120" w:line="276" w:lineRule="auto"/>
      </w:pPr>
      <w:r>
        <w:rPr>
          <w:rFonts w:ascii="Arial" w:hAnsi="Arial"/>
          <w:color w:val="1E293B"/>
          <w:sz w:val="20"/>
        </w:rPr>
        <w:t>Funcionalidad de nivel administrativo diseñada para mantener los precios al día sin requerir la intervención de desarrolladores:</w:t>
      </w:r>
    </w:p>
    <w:p>
      <w:pPr>
        <w:pStyle w:val="ListBullet"/>
        <w:spacing w:after="60" w:line="276" w:lineRule="auto"/>
      </w:pPr>
      <w:r>
        <w:rPr>
          <w:rFonts w:ascii="Arial" w:hAnsi="Arial"/>
          <w:b/>
          <w:color w:val="1E293B"/>
          <w:sz w:val="20"/>
        </w:rPr>
        <w:t>Acceso Restringido:</w:t>
      </w:r>
      <w:r>
        <w:rPr>
          <w:rFonts w:ascii="Arial" w:hAnsi="Arial"/>
          <w:color w:val="1E293B"/>
          <w:sz w:val="20"/>
        </w:rPr>
        <w:t xml:space="preserve"> El botón de carga y las funciones del panel están completamente ocultos y bloqueados para cualquier usuario, excepto para el correo institucional analista.tecnico@provexpress.com.co.</w:t>
      </w:r>
    </w:p>
    <w:p>
      <w:pPr>
        <w:pStyle w:val="ListBullet"/>
        <w:spacing w:after="60" w:line="276" w:lineRule="auto"/>
      </w:pPr>
      <w:r>
        <w:rPr>
          <w:rFonts w:ascii="Arial" w:hAnsi="Arial"/>
          <w:b/>
          <w:color w:val="1E293B"/>
          <w:sz w:val="20"/>
        </w:rPr>
        <w:t>Zonas Drag &amp; Drop para Excel:</w:t>
      </w:r>
      <w:r>
        <w:rPr>
          <w:rFonts w:ascii="Arial" w:hAnsi="Arial"/>
          <w:color w:val="1E293B"/>
          <w:sz w:val="20"/>
        </w:rPr>
        <w:t xml:space="preserve"> Permite arrastrar o seleccionar los archivos Excel oficiales de Microsoft (con hojas NCE, Perpetuo y Software) y Acronis (con hojas Pricelist USD, Solution-based, Service-based y Cloud DCs).</w:t>
      </w:r>
    </w:p>
    <w:p>
      <w:pPr>
        <w:pStyle w:val="ListBullet"/>
        <w:spacing w:after="60" w:line="276" w:lineRule="auto"/>
      </w:pPr>
      <w:r>
        <w:rPr>
          <w:rFonts w:ascii="Arial" w:hAnsi="Arial"/>
          <w:b/>
          <w:color w:val="1E293B"/>
          <w:sz w:val="20"/>
        </w:rPr>
        <w:t>Extracción en Cliente:</w:t>
      </w:r>
      <w:r>
        <w:rPr>
          <w:rFonts w:ascii="Arial" w:hAnsi="Arial"/>
          <w:color w:val="1E293B"/>
          <w:sz w:val="20"/>
        </w:rPr>
        <w:t xml:space="preserve"> Ejecuta en milisegundos las mismas reglas de negocio y exclusiones (como descartar Non-Profit/Charity, calcular llaves de periodo estricto y normalizar nombres).</w:t>
      </w:r>
    </w:p>
    <w:p>
      <w:pPr>
        <w:pStyle w:val="ListBullet"/>
        <w:spacing w:after="60" w:line="276" w:lineRule="auto"/>
      </w:pPr>
      <w:r>
        <w:rPr>
          <w:rFonts w:ascii="Arial" w:hAnsi="Arial"/>
          <w:b/>
          <w:color w:val="1E293B"/>
          <w:sz w:val="20"/>
        </w:rPr>
        <w:t>Publicación Directa a GitHub:</w:t>
      </w:r>
      <w:r>
        <w:rPr>
          <w:rFonts w:ascii="Arial" w:hAnsi="Arial"/>
          <w:color w:val="1E293B"/>
          <w:sz w:val="20"/>
        </w:rPr>
        <w:t xml:space="preserve"> Con solo un clic, la herramienta utiliza un Personal Access Token (PAT) para hacer commit directo a GitHub, actualizando GitHub Pages para toda la empresa en 1 a 2 minutos.</w:t>
      </w:r>
    </w:p>
    <w:p>
      <w:pPr>
        <w:pStyle w:val="ListBullet"/>
        <w:spacing w:after="60" w:line="276" w:lineRule="auto"/>
      </w:pPr>
      <w:r>
        <w:rPr>
          <w:rFonts w:ascii="Arial" w:hAnsi="Arial"/>
          <w:b/>
          <w:color w:val="1E293B"/>
          <w:sz w:val="20"/>
        </w:rPr>
        <w:t>Modo Prueba en Vivo:</w:t>
      </w:r>
      <w:r>
        <w:rPr>
          <w:rFonts w:ascii="Arial" w:hAnsi="Arial"/>
          <w:color w:val="1E293B"/>
          <w:sz w:val="20"/>
        </w:rPr>
        <w:t xml:space="preserve"> Permite inyectar los precios cargados en la sesión actual para probar las búsquedas antes de publicarlas de forma definitiva.</w:t>
      </w:r>
    </w:p>
    <w:p>
      <w:pPr>
        <w:pStyle w:val="Heading1"/>
        <w:keepNext/>
        <w:spacing w:before="360" w:after="120"/>
      </w:pPr>
      <w:r>
        <w:rPr>
          <w:rFonts w:ascii="Arial" w:hAnsi="Arial"/>
          <w:b/>
          <w:color w:val="1A2B6B"/>
          <w:sz w:val="34"/>
        </w:rPr>
        <w:t>4. Estructura del Repositorio y Componentes</w:t>
      </w:r>
    </w:p>
    <w:p>
      <w:pPr>
        <w:spacing w:after="120" w:line="276" w:lineRule="auto"/>
      </w:pPr>
      <w:r>
        <w:rPr>
          <w:rFonts w:ascii="Arial" w:hAnsi="Arial"/>
          <w:color w:val="1E293B"/>
          <w:sz w:val="20"/>
        </w:rPr>
        <w:t>La siguiente tabla resume los archivos principales que componen el repositorio de Provex One y su responsabilidad técnica:</w:t>
      </w:r>
    </w:p>
    <w:tbl>
      <w:tblPr>
        <w:tblW w:type="auto" w:w="0"/>
        <w:jc w:val="center"/>
        <w:tblLook w:firstColumn="1" w:firstRow="1" w:lastColumn="0" w:lastRow="0" w:noHBand="0" w:noVBand="1" w:val="04A0"/>
      </w:tblPr>
      <w:tblGrid>
        <w:gridCol w:w="3120"/>
        <w:gridCol w:w="3120"/>
        <w:gridCol w:w="3120"/>
      </w:tblGrid>
      <w:tr>
        <w:tc>
          <w:tcPr>
            <w:tcW w:type="dxa" w:w="3120"/>
            <w:shd w:fill="1A2B6B"/>
            <w:tcMar>
              <w:top w:w="80" w:type="dxa"/>
              <w:bottom w:w="80" w:type="dxa"/>
              <w:left w:w="100" w:type="dxa"/>
              <w:right w:w="100" w:type="dxa"/>
            </w:tcMar>
          </w:tcPr>
          <w:p>
            <w:pPr>
              <w:spacing w:after="0"/>
            </w:pPr>
            <w:r>
              <w:rPr>
                <w:rFonts w:ascii="Arial" w:hAnsi="Arial"/>
                <w:b/>
                <w:color w:val="FFFFFF"/>
                <w:sz w:val="18"/>
              </w:rPr>
              <w:t>Ruta del Archivo</w:t>
            </w:r>
          </w:p>
        </w:tc>
        <w:tc>
          <w:tcPr>
            <w:tcW w:type="dxa" w:w="3120"/>
            <w:shd w:fill="1A2B6B"/>
            <w:tcMar>
              <w:top w:w="80" w:type="dxa"/>
              <w:bottom w:w="80" w:type="dxa"/>
              <w:left w:w="100" w:type="dxa"/>
              <w:right w:w="100" w:type="dxa"/>
            </w:tcMar>
          </w:tcPr>
          <w:p>
            <w:pPr>
              <w:spacing w:after="0"/>
            </w:pPr>
            <w:r>
              <w:rPr>
                <w:rFonts w:ascii="Arial" w:hAnsi="Arial"/>
                <w:b/>
                <w:color w:val="FFFFFF"/>
                <w:sz w:val="18"/>
              </w:rPr>
              <w:t>Tipo</w:t>
            </w:r>
          </w:p>
        </w:tc>
        <w:tc>
          <w:tcPr>
            <w:tcW w:type="dxa" w:w="3120"/>
            <w:shd w:fill="1A2B6B"/>
            <w:tcMar>
              <w:top w:w="80" w:type="dxa"/>
              <w:bottom w:w="80" w:type="dxa"/>
              <w:left w:w="100" w:type="dxa"/>
              <w:right w:w="100" w:type="dxa"/>
            </w:tcMar>
          </w:tcPr>
          <w:p>
            <w:pPr>
              <w:spacing w:after="0"/>
            </w:pPr>
            <w:r>
              <w:rPr>
                <w:rFonts w:ascii="Arial" w:hAnsi="Arial"/>
                <w:b/>
                <w:color w:val="FFFFFF"/>
                <w:sz w:val="18"/>
              </w:rPr>
              <w:t>Descripción y Responsabilidad</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index.html</w:t>
            </w:r>
          </w:p>
        </w:tc>
        <w:tc>
          <w:tcPr>
            <w:tcW w:type="dxa" w:w="3120"/>
            <w:tcMar>
              <w:top w:w="60" w:type="dxa"/>
              <w:bottom w:w="60" w:type="dxa"/>
              <w:left w:w="80" w:type="dxa"/>
              <w:right w:w="80" w:type="dxa"/>
            </w:tcMar>
            <w:shd w:fill="FFFFFF"/>
          </w:tcPr>
          <w:p>
            <w:pPr>
              <w:spacing w:after="0"/>
            </w:pPr>
            <w:r>
              <w:rPr>
                <w:rFonts w:ascii="Arial" w:hAnsi="Arial"/>
                <w:color w:val="1E293B"/>
                <w:sz w:val="17"/>
              </w:rPr>
              <w:t>HTML5</w:t>
            </w:r>
          </w:p>
        </w:tc>
        <w:tc>
          <w:tcPr>
            <w:tcW w:type="dxa" w:w="3120"/>
            <w:tcMar>
              <w:top w:w="60" w:type="dxa"/>
              <w:bottom w:w="60" w:type="dxa"/>
              <w:left w:w="80" w:type="dxa"/>
              <w:right w:w="80" w:type="dxa"/>
            </w:tcMar>
            <w:shd w:fill="FFFFFF"/>
          </w:tcPr>
          <w:p>
            <w:pPr>
              <w:spacing w:after="0"/>
            </w:pPr>
            <w:r>
              <w:rPr>
                <w:rFonts w:ascii="Arial" w:hAnsi="Arial"/>
                <w:color w:val="1E293B"/>
                <w:sz w:val="17"/>
              </w:rPr>
              <w:t>Página principal de la aplicación. Contiene el cascarón de la app, vistas de workspace, modales y carga de librerías (Tailwind, MSAL, SheetJS).</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css/styles.css</w:t>
            </w:r>
          </w:p>
        </w:tc>
        <w:tc>
          <w:tcPr>
            <w:tcW w:type="dxa" w:w="3120"/>
            <w:tcMar>
              <w:top w:w="60" w:type="dxa"/>
              <w:bottom w:w="60" w:type="dxa"/>
              <w:left w:w="80" w:type="dxa"/>
              <w:right w:w="80" w:type="dxa"/>
            </w:tcMar>
            <w:shd w:fill="FFFFFF"/>
          </w:tcPr>
          <w:p>
            <w:pPr>
              <w:spacing w:after="0"/>
            </w:pPr>
            <w:r>
              <w:rPr>
                <w:rFonts w:ascii="Arial" w:hAnsi="Arial"/>
                <w:color w:val="1E293B"/>
                <w:sz w:val="17"/>
              </w:rPr>
              <w:t>CSS3</w:t>
            </w:r>
          </w:p>
        </w:tc>
        <w:tc>
          <w:tcPr>
            <w:tcW w:type="dxa" w:w="3120"/>
            <w:tcMar>
              <w:top w:w="60" w:type="dxa"/>
              <w:bottom w:w="60" w:type="dxa"/>
              <w:left w:w="80" w:type="dxa"/>
              <w:right w:w="80" w:type="dxa"/>
            </w:tcMar>
            <w:shd w:fill="FFFFFF"/>
          </w:tcPr>
          <w:p>
            <w:pPr>
              <w:spacing w:after="0"/>
            </w:pPr>
            <w:r>
              <w:rPr>
                <w:rFonts w:ascii="Arial" w:hAnsi="Arial"/>
                <w:color w:val="1E293B"/>
                <w:sz w:val="17"/>
              </w:rPr>
              <w:t>Hojas de estilo maestras. Contiene tokens visuales, temas, comportamiento responsivo, layout móvil, estilos de tablas y modal de administración.</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js/app.js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Punto de entrada de la aplicación. Inicializa el ciclo de vida y coordina la autenticación con el desbloqueo del cascarón.</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js/auth.js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Módulo de autenticación con Microsoft Entra ID. Controla sesión, redirección, estado de usuario y verificación del rol de analista técnico.</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js/auth-config.js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Configuración de credenciales de Azure AD (ClientId, TenantId y scopes de lectura de perfil).</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js/search.js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Módulo de búsqueda y cotización de licencias Microsoft. Maneja filtrado inteligente, selección múltiple y cálculos de margen comercial.</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js/acronis.js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Módulo de la calculadora Acronis Cyber Cloud. Administra modos, tiers de compromiso, datacenters y cotizaciones consolidadas.</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js/kaspersky.js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Módulo de consulta y cotización de Kaspersky Business Security.</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js/admin-pricing.js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Módulo administrativo. Parsea archivos Excel de Microsoft y Acronis en cliente y los publica a GitHub vía REST API.</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js/tables.js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Renderizadores de tablas, cards de comparación y utilidades de copiado en portapapeles.</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js/trm.js</w:t>
            </w:r>
          </w:p>
        </w:tc>
        <w:tc>
          <w:tcPr>
            <w:tcW w:type="dxa" w:w="3120"/>
            <w:tcMar>
              <w:top w:w="60" w:type="dxa"/>
              <w:bottom w:w="60" w:type="dxa"/>
              <w:left w:w="80" w:type="dxa"/>
              <w:right w:w="80" w:type="dxa"/>
            </w:tcMar>
            <w:shd w:fill="FFFFFF"/>
          </w:tcPr>
          <w:p>
            <w:pPr>
              <w:spacing w:after="0"/>
            </w:pPr>
            <w:r>
              <w:rPr>
                <w:rFonts w:ascii="Arial" w:hAnsi="Arial"/>
                <w:color w:val="1E293B"/>
                <w:sz w:val="17"/>
              </w:rPr>
              <w:t>JavaScript</w:t>
            </w:r>
          </w:p>
        </w:tc>
        <w:tc>
          <w:tcPr>
            <w:tcW w:type="dxa" w:w="3120"/>
            <w:tcMar>
              <w:top w:w="60" w:type="dxa"/>
              <w:bottom w:w="60" w:type="dxa"/>
              <w:left w:w="80" w:type="dxa"/>
              <w:right w:w="80" w:type="dxa"/>
            </w:tcMar>
            <w:shd w:fill="FFFFFF"/>
          </w:tcPr>
          <w:p>
            <w:pPr>
              <w:spacing w:after="0"/>
            </w:pPr>
            <w:r>
              <w:rPr>
                <w:rFonts w:ascii="Arial" w:hAnsi="Arial"/>
                <w:color w:val="1E293B"/>
                <w:sz w:val="17"/>
              </w:rPr>
              <w:t>Conector y gestor de la Tasa Representativa del Mercado (TRM COP/USD).</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sw.js</w:t>
            </w:r>
          </w:p>
        </w:tc>
        <w:tc>
          <w:tcPr>
            <w:tcW w:type="dxa" w:w="3120"/>
            <w:tcMar>
              <w:top w:w="60" w:type="dxa"/>
              <w:bottom w:w="60" w:type="dxa"/>
              <w:left w:w="80" w:type="dxa"/>
              <w:right w:w="80" w:type="dxa"/>
            </w:tcMar>
            <w:shd w:fill="FFFFFF"/>
          </w:tcPr>
          <w:p>
            <w:pPr>
              <w:spacing w:after="0"/>
            </w:pPr>
            <w:r>
              <w:rPr>
                <w:rFonts w:ascii="Arial" w:hAnsi="Arial"/>
                <w:color w:val="1E293B"/>
                <w:sz w:val="17"/>
              </w:rPr>
              <w:t>Service Worker</w:t>
            </w:r>
          </w:p>
        </w:tc>
        <w:tc>
          <w:tcPr>
            <w:tcW w:type="dxa" w:w="3120"/>
            <w:tcMar>
              <w:top w:w="60" w:type="dxa"/>
              <w:bottom w:w="60" w:type="dxa"/>
              <w:left w:w="80" w:type="dxa"/>
              <w:right w:w="80" w:type="dxa"/>
            </w:tcMar>
            <w:shd w:fill="FFFFFF"/>
          </w:tcPr>
          <w:p>
            <w:pPr>
              <w:spacing w:after="0"/>
            </w:pPr>
            <w:r>
              <w:rPr>
                <w:rFonts w:ascii="Arial" w:hAnsi="Arial"/>
                <w:color w:val="1E293B"/>
                <w:sz w:val="17"/>
              </w:rPr>
              <w:t>Controlador PWA con versión de caché v53. Garantiza navegación fluida y disponibilidad fuera de línea.</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manifest.json</w:t>
            </w:r>
          </w:p>
        </w:tc>
        <w:tc>
          <w:tcPr>
            <w:tcW w:type="dxa" w:w="3120"/>
            <w:tcMar>
              <w:top w:w="60" w:type="dxa"/>
              <w:bottom w:w="60" w:type="dxa"/>
              <w:left w:w="80" w:type="dxa"/>
              <w:right w:w="80" w:type="dxa"/>
            </w:tcMar>
            <w:shd w:fill="FFFFFF"/>
          </w:tcPr>
          <w:p>
            <w:pPr>
              <w:spacing w:after="0"/>
            </w:pPr>
            <w:r>
              <w:rPr>
                <w:rFonts w:ascii="Arial" w:hAnsi="Arial"/>
                <w:color w:val="1E293B"/>
                <w:sz w:val="17"/>
              </w:rPr>
              <w:t>JSON</w:t>
            </w:r>
          </w:p>
        </w:tc>
        <w:tc>
          <w:tcPr>
            <w:tcW w:type="dxa" w:w="3120"/>
            <w:tcMar>
              <w:top w:w="60" w:type="dxa"/>
              <w:bottom w:w="60" w:type="dxa"/>
              <w:left w:w="80" w:type="dxa"/>
              <w:right w:w="80" w:type="dxa"/>
            </w:tcMar>
            <w:shd w:fill="FFFFFF"/>
          </w:tcPr>
          <w:p>
            <w:pPr>
              <w:spacing w:after="0"/>
            </w:pPr>
            <w:r>
              <w:rPr>
                <w:rFonts w:ascii="Arial" w:hAnsi="Arial"/>
                <w:color w:val="1E293B"/>
                <w:sz w:val="17"/>
              </w:rPr>
              <w:t>Manifiesto de aplicación PWA (nombre, iconos, colores de tema y modo standalone).</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catalogs/*.json</w:t>
            </w:r>
          </w:p>
        </w:tc>
        <w:tc>
          <w:tcPr>
            <w:tcW w:type="dxa" w:w="3120"/>
            <w:tcMar>
              <w:top w:w="60" w:type="dxa"/>
              <w:bottom w:w="60" w:type="dxa"/>
              <w:left w:w="80" w:type="dxa"/>
              <w:right w:w="80" w:type="dxa"/>
            </w:tcMar>
            <w:shd w:fill="FFFFFF"/>
          </w:tcPr>
          <w:p>
            <w:pPr>
              <w:spacing w:after="0"/>
            </w:pPr>
            <w:r>
              <w:rPr>
                <w:rFonts w:ascii="Arial" w:hAnsi="Arial"/>
                <w:color w:val="1E293B"/>
                <w:sz w:val="17"/>
              </w:rPr>
              <w:t>Datos JSON</w:t>
            </w:r>
          </w:p>
        </w:tc>
        <w:tc>
          <w:tcPr>
            <w:tcW w:type="dxa" w:w="3120"/>
            <w:tcMar>
              <w:top w:w="60" w:type="dxa"/>
              <w:bottom w:w="60" w:type="dxa"/>
              <w:left w:w="80" w:type="dxa"/>
              <w:right w:w="80" w:type="dxa"/>
            </w:tcMar>
            <w:shd w:fill="FFFFFF"/>
          </w:tcPr>
          <w:p>
            <w:pPr>
              <w:spacing w:after="0"/>
            </w:pPr>
            <w:r>
              <w:rPr>
                <w:rFonts w:ascii="Arial" w:hAnsi="Arial"/>
                <w:color w:val="1E293B"/>
                <w:sz w:val="17"/>
              </w:rPr>
              <w:t>Bases de datos oficiales de productos (cloud_products.json, acronis_products.json, kaspersky_products.json).</w:t>
            </w:r>
          </w:p>
        </w:tc>
      </w:tr>
      <w:tr>
        <w:tc>
          <w:tcPr>
            <w:tcW w:type="dxa" w:w="3120"/>
            <w:tcMar>
              <w:top w:w="60" w:type="dxa"/>
              <w:bottom w:w="60" w:type="dxa"/>
              <w:left w:w="80" w:type="dxa"/>
              <w:right w:w="80" w:type="dxa"/>
            </w:tcMar>
            <w:shd w:fill="F8FAFC"/>
          </w:tcPr>
          <w:p>
            <w:pPr>
              <w:spacing w:after="0"/>
            </w:pPr>
            <w:r>
              <w:rPr>
                <w:rFonts w:ascii="Arial" w:hAnsi="Arial"/>
                <w:b/>
                <w:color w:val="1A2B6B"/>
                <w:sz w:val="17"/>
              </w:rPr>
              <w:t>extractors/*.py</w:t>
            </w:r>
          </w:p>
        </w:tc>
        <w:tc>
          <w:tcPr>
            <w:tcW w:type="dxa" w:w="3120"/>
            <w:tcMar>
              <w:top w:w="60" w:type="dxa"/>
              <w:bottom w:w="60" w:type="dxa"/>
              <w:left w:w="80" w:type="dxa"/>
              <w:right w:w="80" w:type="dxa"/>
            </w:tcMar>
            <w:shd w:fill="FFFFFF"/>
          </w:tcPr>
          <w:p>
            <w:pPr>
              <w:spacing w:after="0"/>
            </w:pPr>
            <w:r>
              <w:rPr>
                <w:rFonts w:ascii="Arial" w:hAnsi="Arial"/>
                <w:color w:val="1E293B"/>
                <w:sz w:val="17"/>
              </w:rPr>
              <w:t>Python</w:t>
            </w:r>
          </w:p>
        </w:tc>
        <w:tc>
          <w:tcPr>
            <w:tcW w:type="dxa" w:w="3120"/>
            <w:tcMar>
              <w:top w:w="60" w:type="dxa"/>
              <w:bottom w:w="60" w:type="dxa"/>
              <w:left w:w="80" w:type="dxa"/>
              <w:right w:w="80" w:type="dxa"/>
            </w:tcMar>
            <w:shd w:fill="FFFFFF"/>
          </w:tcPr>
          <w:p>
            <w:pPr>
              <w:spacing w:after="0"/>
            </w:pPr>
            <w:r>
              <w:rPr>
                <w:rFonts w:ascii="Arial" w:hAnsi="Arial"/>
                <w:color w:val="1E293B"/>
                <w:sz w:val="17"/>
              </w:rPr>
              <w:t>Scripts de extracción masiva y normalización para ejecución local o en lote.</w:t>
            </w:r>
          </w:p>
        </w:tc>
      </w:tr>
    </w:tbl>
    <w:p>
      <w:r>
        <w:br w:type="page"/>
      </w:r>
    </w:p>
    <w:p>
      <w:pPr>
        <w:pStyle w:val="Heading1"/>
        <w:keepNext/>
        <w:spacing w:before="360" w:after="120"/>
      </w:pPr>
      <w:r>
        <w:rPr>
          <w:rFonts w:ascii="Arial" w:hAnsi="Arial"/>
          <w:b/>
          <w:color w:val="1A2B6B"/>
          <w:sz w:val="34"/>
        </w:rPr>
        <w:t>5. Políticas de Seguridad y Control de Acceso</w:t>
      </w:r>
    </w:p>
    <w:p>
      <w:pPr>
        <w:spacing w:after="120" w:line="276" w:lineRule="auto"/>
      </w:pPr>
      <w:r>
        <w:rPr>
          <w:rFonts w:ascii="Arial" w:hAnsi="Arial"/>
          <w:color w:val="1E293B"/>
          <w:sz w:val="20"/>
        </w:rPr>
        <w:t>Provex One incorpora controles de seguridad robustos diseñados específicamente para el contexto corporativo de Provexpress:</w:t>
      </w:r>
    </w:p>
    <w:p>
      <w:pPr>
        <w:spacing w:after="120" w:line="276" w:lineRule="auto"/>
      </w:pPr>
      <w:r>
        <w:rPr>
          <w:rFonts w:ascii="Arial" w:hAnsi="Arial"/>
          <w:b/>
          <w:color w:val="1E293B"/>
          <w:sz w:val="20"/>
        </w:rPr>
        <w:t xml:space="preserve">1. Autenticación Delegada (Single Sign-On): </w:t>
      </w:r>
      <w:r>
        <w:rPr>
          <w:rFonts w:ascii="Arial" w:hAnsi="Arial"/>
          <w:color w:val="1E293B"/>
          <w:sz w:val="20"/>
        </w:rPr>
        <w:t>El acceso a la aplicación está protegido por una compuerta obligatoria (Auth Gate). La aplicación no carga los catálogos ni muestra la interfaz de cotización hasta que el usuario inicia sesión exitosamente contra el tenant institucional de Provexpress mediante Microsoft Entra ID. No existen contraseñas locales ni bases de datos de usuarios que puedan ser comprometidas.</w:t>
      </w:r>
    </w:p>
    <w:p>
      <w:pPr>
        <w:spacing w:after="120" w:line="276" w:lineRule="auto"/>
      </w:pPr>
      <w:r>
        <w:rPr>
          <w:rFonts w:ascii="Arial" w:hAnsi="Arial"/>
          <w:b/>
          <w:color w:val="1E293B"/>
          <w:sz w:val="20"/>
        </w:rPr>
        <w:t xml:space="preserve">2. Manejo Seguro de Credenciales y Tokens: </w:t>
      </w:r>
      <w:r>
        <w:rPr>
          <w:rFonts w:ascii="Arial" w:hAnsi="Arial"/>
          <w:color w:val="1E293B"/>
          <w:sz w:val="20"/>
        </w:rPr>
        <w:t>El código cliente no expone claves secretas. La autenticación con Azure AD se realiza mediante Client ID público con flujo seguro Authorization Code + PKCE. Para la publicación de precios a GitHub, el Personal Access Token (PAT) se almacena únicamente en el almacenamiento local (localStorage) del navegador personal del analista autorizado, sin guardarse nunca en el servidor ni compartirse con otros usuarios.</w:t>
      </w:r>
    </w:p>
    <w:p>
      <w:pPr>
        <w:spacing w:after="120" w:line="276" w:lineRule="auto"/>
      </w:pPr>
      <w:r>
        <w:rPr>
          <w:rFonts w:ascii="Arial" w:hAnsi="Arial"/>
          <w:b/>
          <w:color w:val="1E293B"/>
          <w:sz w:val="20"/>
        </w:rPr>
        <w:t xml:space="preserve">3. Salvaguarda Financiera Inviolable (Rentabilidad Mínima): </w:t>
      </w:r>
      <w:r>
        <w:rPr>
          <w:rFonts w:ascii="Arial" w:hAnsi="Arial"/>
          <w:color w:val="1E293B"/>
          <w:sz w:val="20"/>
        </w:rPr>
        <w:t>Se estableció una política estricta en el código fuente que impide al comercial cotizar con un margen inferior al 6%. Si un usuario intenta escribir un valor menor, el sistema automáticamente lo reajusta al 6%, protegiendo la viabilidad financiera de las operaciones de la compañía.</w:t>
      </w:r>
    </w:p>
    <w:p>
      <w:pPr>
        <w:spacing w:after="120" w:line="276" w:lineRule="auto"/>
      </w:pPr>
      <w:r>
        <w:rPr>
          <w:rFonts w:ascii="Arial" w:hAnsi="Arial"/>
          <w:b/>
          <w:color w:val="1E293B"/>
          <w:sz w:val="20"/>
        </w:rPr>
        <w:t xml:space="preserve">4. Principio de Menor Privilegio (Role Separation): </w:t>
      </w:r>
      <w:r>
        <w:rPr>
          <w:rFonts w:ascii="Arial" w:hAnsi="Arial"/>
          <w:color w:val="1E293B"/>
          <w:sz w:val="20"/>
        </w:rPr>
        <w:t>El módulo de administración valida de forma estricta el correo del usuario autenticado contra analista.tecnico@provexpress.com.co. Ningún otro correo corporativo puede visualizar el botón ni invocar las funciones de carga de listas de precios.</w:t>
      </w:r>
    </w:p>
    <w:p>
      <w:pPr>
        <w:pStyle w:val="Heading1"/>
        <w:keepNext/>
        <w:spacing w:before="360" w:after="120"/>
      </w:pPr>
      <w:r>
        <w:rPr>
          <w:rFonts w:ascii="Arial" w:hAnsi="Arial"/>
          <w:b/>
          <w:color w:val="1A2B6B"/>
          <w:sz w:val="34"/>
        </w:rPr>
        <w:t>6. Guía Rápida de Operación para Actualización Mensual</w:t>
      </w:r>
    </w:p>
    <w:p>
      <w:pPr>
        <w:spacing w:after="120" w:line="276" w:lineRule="auto"/>
      </w:pPr>
      <w:r>
        <w:rPr>
          <w:rFonts w:ascii="Arial" w:hAnsi="Arial"/>
          <w:color w:val="1E293B"/>
          <w:sz w:val="20"/>
        </w:rPr>
        <w:t>Para actualizar las listas de precios de Microsoft o Acronis a principio de mes, el analista técnico debe seguir estos sencillos pasos:</w:t>
      </w:r>
    </w:p>
    <w:p>
      <w:pPr>
        <w:pStyle w:val="ListBullet"/>
        <w:spacing w:after="60" w:line="276" w:lineRule="auto"/>
      </w:pPr>
      <w:r>
        <w:rPr>
          <w:rFonts w:ascii="Arial" w:hAnsi="Arial"/>
          <w:b/>
          <w:color w:val="1E293B"/>
          <w:sz w:val="20"/>
        </w:rPr>
        <w:t>Paso 1: Inicio de Sesión:</w:t>
      </w:r>
      <w:r>
        <w:rPr>
          <w:rFonts w:ascii="Arial" w:hAnsi="Arial"/>
          <w:color w:val="1E293B"/>
          <w:sz w:val="20"/>
        </w:rPr>
        <w:t xml:space="preserve"> Ingresar a la plataforma (https://provexpress.github.io/Provex-One/) e iniciar sesión con la cuenta analista.tecnico@provexpress.com.co.</w:t>
      </w:r>
    </w:p>
    <w:p>
      <w:pPr>
        <w:pStyle w:val="ListBullet"/>
        <w:spacing w:after="60" w:line="276" w:lineRule="auto"/>
      </w:pPr>
      <w:r>
        <w:rPr>
          <w:rFonts w:ascii="Arial" w:hAnsi="Arial"/>
          <w:b/>
          <w:color w:val="1E293B"/>
          <w:sz w:val="20"/>
        </w:rPr>
        <w:t>Paso 2: Apertura del Gestor:</w:t>
      </w:r>
      <w:r>
        <w:rPr>
          <w:rFonts w:ascii="Arial" w:hAnsi="Arial"/>
          <w:color w:val="1E293B"/>
          <w:sz w:val="20"/>
        </w:rPr>
        <w:t xml:space="preserve"> En la barra superior de navegación, hacer clic en el botón '⚙️ Cargar Precios'. Se abrirá el modal de actualización.</w:t>
      </w:r>
    </w:p>
    <w:p>
      <w:pPr>
        <w:pStyle w:val="ListBullet"/>
        <w:spacing w:after="60" w:line="276" w:lineRule="auto"/>
      </w:pPr>
      <w:r>
        <w:rPr>
          <w:rFonts w:ascii="Arial" w:hAnsi="Arial"/>
          <w:b/>
          <w:color w:val="1E293B"/>
          <w:sz w:val="20"/>
        </w:rPr>
        <w:t>Paso 3: Carga de Microsoft (si aplica):</w:t>
      </w:r>
      <w:r>
        <w:rPr>
          <w:rFonts w:ascii="Arial" w:hAnsi="Arial"/>
          <w:color w:val="1E293B"/>
          <w:sz w:val="20"/>
        </w:rPr>
        <w:t xml:space="preserve"> Arrastrar el archivo Excel oficial de Microsoft (.xlsx) en la zona correspondiente. El sistema procesará las hojas NCE, Perpetuo y Suscripciones informando la cantidad de productos válidos detectados.</w:t>
      </w:r>
    </w:p>
    <w:p>
      <w:pPr>
        <w:pStyle w:val="ListBullet"/>
        <w:spacing w:after="60" w:line="276" w:lineRule="auto"/>
      </w:pPr>
      <w:r>
        <w:rPr>
          <w:rFonts w:ascii="Arial" w:hAnsi="Arial"/>
          <w:b/>
          <w:color w:val="1E293B"/>
          <w:sz w:val="20"/>
        </w:rPr>
        <w:t>Paso 4: Carga de Acronis (si aplica):</w:t>
      </w:r>
      <w:r>
        <w:rPr>
          <w:rFonts w:ascii="Arial" w:hAnsi="Arial"/>
          <w:color w:val="1E293B"/>
          <w:sz w:val="20"/>
        </w:rPr>
        <w:t xml:space="preserve"> Arrastrar el archivo Excel de la calculadora de Acronis (.xlsx). El sistema extraerá los ítems por solución, servicio y niveles de compromiso.</w:t>
      </w:r>
    </w:p>
    <w:p>
      <w:pPr>
        <w:pStyle w:val="ListBullet"/>
        <w:spacing w:after="60" w:line="276" w:lineRule="auto"/>
      </w:pPr>
      <w:r>
        <w:rPr>
          <w:rFonts w:ascii="Arial" w:hAnsi="Arial"/>
          <w:b/>
          <w:color w:val="1E293B"/>
          <w:sz w:val="20"/>
        </w:rPr>
        <w:t>Paso 5: Validación:</w:t>
      </w:r>
      <w:r>
        <w:rPr>
          <w:rFonts w:ascii="Arial" w:hAnsi="Arial"/>
          <w:color w:val="1E293B"/>
          <w:sz w:val="20"/>
        </w:rPr>
        <w:t xml:space="preserve"> Opcionalmente, hacer clic en '⚡ Probar en esta sesión' para explorar las cotizaciones en caliente en el navegador.</w:t>
      </w:r>
    </w:p>
    <w:p>
      <w:pPr>
        <w:pStyle w:val="ListBullet"/>
        <w:spacing w:after="60" w:line="276" w:lineRule="auto"/>
      </w:pPr>
      <w:r>
        <w:rPr>
          <w:rFonts w:ascii="Arial" w:hAnsi="Arial"/>
          <w:b/>
          <w:color w:val="1E293B"/>
          <w:sz w:val="20"/>
        </w:rPr>
        <w:t>Paso 6: Publicación Oficial:</w:t>
      </w:r>
      <w:r>
        <w:rPr>
          <w:rFonts w:ascii="Arial" w:hAnsi="Arial"/>
          <w:color w:val="1E293B"/>
          <w:sz w:val="20"/>
        </w:rPr>
        <w:t xml:space="preserve"> Ingresar el GitHub Token (solo la primera vez) y presionar '🚀 Publicar a GitHub'. En aproximadamente 1 a 2 minutos, GitHub Pages actualizará automáticamente la plataforma para todos los usuarios de Provexpress.</w:t>
      </w:r>
    </w:p>
    <w:p>
      <w:pPr>
        <w:pStyle w:val="Heading1"/>
        <w:keepNext/>
        <w:spacing w:before="360" w:after="120"/>
      </w:pPr>
      <w:r>
        <w:rPr>
          <w:rFonts w:ascii="Arial" w:hAnsi="Arial"/>
          <w:b/>
          <w:color w:val="1A2B6B"/>
          <w:sz w:val="34"/>
        </w:rPr>
        <w:t>7. Acta y Conformidad de Entrega</w:t>
      </w:r>
    </w:p>
    <w:p>
      <w:pPr>
        <w:spacing w:after="120" w:line="276" w:lineRule="auto"/>
      </w:pPr>
      <w:r>
        <w:rPr>
          <w:rFonts w:ascii="Arial" w:hAnsi="Arial"/>
          <w:color w:val="1E293B"/>
          <w:sz w:val="20"/>
        </w:rPr>
        <w:t>Con la emisión del presente documento y la confirmación de los commits en la rama 'master' del repositorio oficial, se da por entregada y recibida a satisfacción la plataforma Provex One en su versión 2.0.</w:t>
      </w:r>
    </w:p>
    <w:p>
      <w:pPr>
        <w:spacing w:after="120" w:line="276" w:lineRule="auto"/>
      </w:pPr>
      <w:r>
        <w:rPr>
          <w:rFonts w:ascii="Arial" w:hAnsi="Arial"/>
          <w:color w:val="1E293B"/>
          <w:sz w:val="20"/>
        </w:rPr>
        <w:t>La plataforma cumple a cabalidad con todos los requerimientos funcionales, comerciales, de seguridad y de experiencia de usuario solicitados por la gerencia y el equipo comercial de Provexpress S.A.S.</w:t>
      </w:r>
    </w:p>
    <w:p>
      <w:pPr>
        <w:spacing w:after="480"/>
      </w:pPr>
    </w:p>
    <w:tbl>
      <w:tblPr>
        <w:tblW w:type="auto" w:w="0"/>
        <w:jc w:val="center"/>
        <w:tblLook w:firstColumn="1" w:firstRow="1" w:lastColumn="0" w:lastRow="0" w:noHBand="0" w:noVBand="1" w:val="04A0"/>
      </w:tblPr>
      <w:tblGrid>
        <w:gridCol w:w="4680"/>
        <w:gridCol w:w="4680"/>
      </w:tblGrid>
      <w:tr>
        <w:tc>
          <w:tcPr>
            <w:tcW w:type="dxa" w:w="4608"/>
            <w:tcMar>
              <w:top w:w="80" w:type="dxa"/>
              <w:bottom w:w="80" w:type="dxa"/>
              <w:left w:w="80" w:type="dxa"/>
              <w:right w:w="80" w:type="dxa"/>
            </w:tcMar>
          </w:tcPr>
          <w:p>
            <w:r>
              <w:rPr>
                <w:color w:val="64748B"/>
              </w:rPr>
              <w:t>_________________________________________</w:t>
              <w:br/>
            </w:r>
            <w:r>
              <w:rPr>
                <w:b/>
                <w:color w:val="1A2B6B"/>
                <w:sz w:val="20"/>
              </w:rPr>
              <w:t>Equipo de Desarrollo y Arquitectura</w:t>
              <w:br/>
            </w:r>
            <w:r>
              <w:rPr>
                <w:sz w:val="18"/>
              </w:rPr>
              <w:t>Provex One - Entrega de Software</w:t>
            </w:r>
          </w:p>
        </w:tc>
        <w:tc>
          <w:tcPr>
            <w:tcW w:type="dxa" w:w="4608"/>
            <w:tcMar>
              <w:top w:w="80" w:type="dxa"/>
              <w:bottom w:w="80" w:type="dxa"/>
              <w:left w:w="80" w:type="dxa"/>
              <w:right w:w="80" w:type="dxa"/>
            </w:tcMar>
          </w:tcPr>
          <w:p>
            <w:r>
              <w:rPr>
                <w:color w:val="64748B"/>
              </w:rPr>
              <w:t>_________________________________________</w:t>
              <w:br/>
            </w:r>
            <w:r>
              <w:rPr>
                <w:b/>
                <w:color w:val="1A2B6B"/>
                <w:sz w:val="20"/>
              </w:rPr>
              <w:t>Provexpress S.A.S.</w:t>
              <w:br/>
            </w:r>
            <w:r>
              <w:rPr>
                <w:sz w:val="18"/>
              </w:rPr>
              <w:t>Recepción Técnica y Operativa</w:t>
            </w:r>
          </w:p>
        </w:tc>
      </w:tr>
      <w:tr>
        <w:tc>
          <w:tcPr>
            <w:tcW w:type="dxa" w:w="4608"/>
            <w:tcMar>
              <w:top w:w="80" w:type="dxa"/>
              <w:bottom w:w="80" w:type="dxa"/>
              <w:left w:w="80" w:type="dxa"/>
              <w:right w:w="80" w:type="dxa"/>
            </w:tcMar>
          </w:tcPr>
          <w:p/>
        </w:tc>
        <w:tc>
          <w:tcPr>
            <w:tcW w:type="dxa" w:w="4608"/>
            <w:tcMar>
              <w:top w:w="80" w:type="dxa"/>
              <w:bottom w:w="80" w:type="dxa"/>
              <w:left w:w="80" w:type="dxa"/>
              <w:right w:w="80" w:type="dxa"/>
            </w:tcMar>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