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5F"/>
          <w:sz w:val="44"/>
          <w:szCs w:val="44"/>
        </w:rPr>
        <w:t xml:space="preserve">AI-XRay</w:t>
      </w:r>
    </w:p>
    <w:p>
      <w:pPr>
        <w:spacing w:after="40"/>
        <w:jc w:val="center"/>
      </w:pPr>
      <w:r>
        <w:rPr>
          <w:b/>
          <w:bCs/>
          <w:sz w:val="30"/>
          <w:szCs w:val="30"/>
        </w:rPr>
        <w:t xml:space="preserve">Executive Summary — Clasificación de neumonía en radiografías pediátricas</w:t>
      </w:r>
    </w:p>
    <w:p>
      <w:pPr>
        <w:spacing w:after="200"/>
        <w:jc w:val="center"/>
      </w:pPr>
      <w:r>
        <w:rPr>
          <w:i/>
          <w:iCs/>
          <w:color w:val="666666"/>
          <w:sz w:val="20"/>
          <w:szCs w:val="20"/>
        </w:rPr>
        <w:t xml:space="preserve">César Libardo España Salguero · Proyecto Final Independiente · Clase 4, Unidad 3 · Máster en IA &amp; Data Science (DevSeniorCode) · 8 de octubre de 2026</w:t>
      </w:r>
    </w:p>
    <w:p>
      <w:pPr>
        <w:pBdr>
          <w:top w:val="single" w:color="C0504D" w:sz="6"/>
          <w:bottom w:val="single" w:color="C0504D" w:sz="6"/>
          <w:left w:val="single" w:color="C0504D" w:sz="6"/>
          <w:right w:val="single" w:color="C0504D" w:sz="6"/>
        </w:pBdr>
        <w:shd w:fill="FDEDED" w:val="clear"/>
        <w:spacing w:after="120" w:before="120"/>
      </w:pPr>
      <w:r>
        <w:rPr>
          <w:b/>
          <w:bCs/>
          <w:color w:val="9B2D2D"/>
        </w:rPr>
        <w:t xml:space="preserve">Aviso: este sistema es un proyecto académico de inteligencia artificial y no constituye un diagnóstico médico ni sustituye la evaluación de un profesional de la salud.</w:t>
      </w:r>
    </w:p>
    <w:p>
      <w:pPr>
        <w:pStyle w:val="Heading1"/>
        <w:keepNext/>
        <w:spacing w:after="60" w:before="200"/>
      </w:pPr>
      <w:r>
        <w:rPr>
          <w:b/>
          <w:bCs/>
          <w:color w:val="1F4E5F"/>
          <w:sz w:val="26"/>
          <w:szCs w:val="26"/>
        </w:rPr>
        <w:t xml:space="preserve">1. Problema</w:t>
      </w:r>
    </w:p>
    <w:p>
      <w:pPr>
        <w:spacing w:after="100" w:line="259" w:lineRule="auto"/>
      </w:pPr>
      <w:r>
        <w:rPr>
          <w:sz w:val="21"/>
          <w:szCs w:val="21"/>
        </w:rPr>
        <w:t xml:space="preserve">La lectura de radiografías de tórax pediátricas para detectar neumonía depende de que haya un radiólogo disponible, y en contextos con alto volumen o pocos especialistas el informe puede tardar horas. La neumonía es una de las principales causas infecciosas de muerte en menores de cinco años, por lo que el tiempo hasta la lectura importa. </w:t>
      </w:r>
      <w:r>
        <w:rPr>
          <w:b/>
          <w:bCs/>
          <w:sz w:val="21"/>
          <w:szCs w:val="21"/>
        </w:rPr>
        <w:t xml:space="preserve">AI-XRay</w:t>
      </w:r>
      <w:r>
        <w:rPr>
          <w:sz w:val="21"/>
          <w:szCs w:val="21"/>
        </w:rPr>
        <w:t xml:space="preserve"> evalúa si un clasificador automático puede funcionar como </w:t>
      </w:r>
      <w:r>
        <w:rPr>
          <w:b/>
          <w:bCs/>
          <w:sz w:val="21"/>
          <w:szCs w:val="21"/>
        </w:rPr>
        <w:t xml:space="preserve">segunda lectura y herramienta de priorización</w:t>
      </w:r>
      <w:r>
        <w:rPr>
          <w:sz w:val="21"/>
          <w:szCs w:val="21"/>
        </w:rPr>
        <w:t xml:space="preserve">: ordenar la cola de estudios para que los casos con mayor probabilidad de neumonía se revisen primero. No pretende reemplazar el diagnóstico médico.</w:t>
      </w:r>
    </w:p>
    <w:p>
      <w:pPr>
        <w:pStyle w:val="Heading1"/>
        <w:keepNext/>
        <w:spacing w:after="60" w:before="200"/>
      </w:pPr>
      <w:r>
        <w:rPr>
          <w:b/>
          <w:bCs/>
          <w:color w:val="1F4E5F"/>
          <w:sz w:val="26"/>
          <w:szCs w:val="26"/>
        </w:rPr>
        <w:t xml:space="preserve">2. Datos</w:t>
      </w:r>
    </w:p>
    <w:p>
      <w:pPr>
        <w:spacing w:after="100" w:line="259" w:lineRule="auto"/>
      </w:pPr>
      <w:r>
        <w:rPr>
          <w:b/>
          <w:bCs/>
          <w:sz w:val="21"/>
          <w:szCs w:val="21"/>
        </w:rPr>
        <w:t xml:space="preserve">Pediatric Chest X-ray Pneumonia</w:t>
      </w:r>
      <w:r>
        <w:rPr>
          <w:sz w:val="21"/>
          <w:szCs w:val="21"/>
        </w:rPr>
        <w:t xml:space="preserve"> (Kermany et al., 2018, vía Kaggle): 5,856 radiografías de niños de 1 a 5 años (1,583 NORMAL / 4,273 PNEUMONIA; desbalance 2.7:1), de un solo hospital (Guangzhou Women and Children's Medical Center). El manifiesto se construyó con pandas y con </w:t>
      </w:r>
      <w:r>
        <w:rPr>
          <w:b/>
          <w:bCs/>
          <w:sz w:val="21"/>
          <w:szCs w:val="21"/>
        </w:rPr>
        <w:t xml:space="preserve">PySpark</w:t>
      </w:r>
      <w:r>
        <w:rPr>
          <w:sz w:val="21"/>
          <w:szCs w:val="21"/>
        </w:rPr>
        <w:t xml:space="preserve"> (mismo código que correría en Databricks).</w:t>
      </w:r>
    </w:p>
    <w:p>
      <w:pPr>
        <w:spacing w:after="40" w:line="252" w:lineRule="auto"/>
        <w:ind w:left="360" w:hanging="220"/>
      </w:pPr>
      <w:r>
        <w:rPr>
          <w:b/>
          <w:bCs/>
          <w:color w:val="1F4E5F"/>
          <w:sz w:val="21"/>
          <w:szCs w:val="21"/>
        </w:rPr>
        <w:t xml:space="preserve">• </w:t>
      </w:r>
      <w:r>
        <w:rPr>
          <w:b/>
          <w:bCs/>
          <w:sz w:val="21"/>
          <w:szCs w:val="21"/>
        </w:rPr>
        <w:t xml:space="preserve">Fuga de datos en el split original:</w:t>
      </w:r>
      <w:r>
        <w:rPr>
          <w:sz w:val="21"/>
          <w:szCs w:val="21"/>
        </w:rPr>
        <w:t xml:space="preserve"> 170 pacientes con neumonía tienen imágenes en train y en test. </w:t>
      </w:r>
      <w:r>
        <w:rPr>
          <w:b/>
          <w:bCs/>
          <w:sz w:val="21"/>
          <w:szCs w:val="21"/>
        </w:rPr>
        <w:t xml:space="preserve">320 de las 390</w:t>
      </w:r>
      <w:r>
        <w:rPr>
          <w:sz w:val="21"/>
          <w:szCs w:val="21"/>
        </w:rPr>
        <w:t xml:space="preserve"> imágenes de neumonía del test original pertenecen a pacientes que también están en train. Evaluar así habría inflado las métricas.</w:t>
      </w:r>
    </w:p>
    <w:p>
      <w:pPr>
        <w:spacing w:after="40" w:line="252" w:lineRule="auto"/>
        <w:ind w:left="360" w:hanging="220"/>
      </w:pPr>
      <w:r>
        <w:rPr>
          <w:b/>
          <w:bCs/>
          <w:color w:val="1F4E5F"/>
          <w:sz w:val="21"/>
          <w:szCs w:val="21"/>
        </w:rPr>
        <w:t xml:space="preserve">• </w:t>
      </w:r>
      <w:r>
        <w:rPr>
          <w:b/>
          <w:bCs/>
          <w:sz w:val="21"/>
          <w:szCs w:val="21"/>
        </w:rPr>
        <w:t xml:space="preserve">Mejora propia:</w:t>
      </w:r>
      <w:r>
        <w:rPr>
          <w:sz w:val="21"/>
          <w:szCs w:val="21"/>
        </w:rPr>
        <w:t xml:space="preserve"> las imágenes NORMAL también se agrupan por estudio (prefijo IM-XXXX: 75 estudios con varias imágenes). Con el método de clase, 29 de esos estudios habrían quedado partidos entre splits.</w:t>
      </w:r>
    </w:p>
    <w:p>
      <w:pPr>
        <w:spacing w:after="40" w:line="252" w:lineRule="auto"/>
        <w:ind w:left="360" w:hanging="220"/>
      </w:pPr>
      <w:r>
        <w:rPr>
          <w:b/>
          <w:bCs/>
          <w:color w:val="1F4E5F"/>
          <w:sz w:val="21"/>
          <w:szCs w:val="21"/>
        </w:rPr>
        <w:t xml:space="preserve">• </w:t>
      </w:r>
      <w:r>
        <w:rPr>
          <w:b/>
          <w:bCs/>
          <w:sz w:val="21"/>
          <w:szCs w:val="21"/>
        </w:rPr>
        <w:t xml:space="preserve">Split propio 70/15/15 agrupado por paciente</w:t>
      </w:r>
      <w:r>
        <w:rPr>
          <w:sz w:val="21"/>
          <w:szCs w:val="21"/>
        </w:rPr>
        <w:t xml:space="preserve"> sobre un subconjunto balanceado de 2,000 imágenes: train 1,389 · validación 309 · test 302. Un assert verifica que ningún paciente aparece en dos splits.</w:t>
      </w:r>
    </w:p>
    <w:p>
      <w:pPr>
        <w:pStyle w:val="Heading1"/>
        <w:keepNext/>
        <w:spacing w:after="60" w:before="200"/>
      </w:pPr>
      <w:r>
        <w:rPr>
          <w:b/>
          <w:bCs/>
          <w:color w:val="1F4E5F"/>
          <w:sz w:val="26"/>
          <w:szCs w:val="26"/>
        </w:rPr>
        <w:t xml:space="preserve">3. Arquitectura técnica y justificación</w:t>
      </w:r>
    </w:p>
    <w:p>
      <w:pPr>
        <w:spacing w:after="40" w:line="259" w:lineRule="auto"/>
      </w:pPr>
      <w:r>
        <w:rPr>
          <w:sz w:val="21"/>
          <w:szCs w:val="21"/>
        </w:rPr>
        <w:t xml:space="preserve">Sistema de punta a punta: manifiesto (pandas + PySpark) → pipeline tf.data con data augmentation → CNN con transfer learning → tracking y registro en </w:t>
      </w:r>
      <w:r>
        <w:rPr>
          <w:b/>
          <w:bCs/>
          <w:sz w:val="21"/>
          <w:szCs w:val="21"/>
        </w:rPr>
        <w:t xml:space="preserve">MLflow</w:t>
      </w:r>
      <w:r>
        <w:rPr>
          <w:sz w:val="21"/>
          <w:szCs w:val="21"/>
        </w:rPr>
        <w:t xml:space="preserve"> → </w:t>
      </w:r>
      <w:r>
        <w:rPr>
          <w:b/>
          <w:bCs/>
          <w:sz w:val="21"/>
          <w:szCs w:val="21"/>
        </w:rPr>
        <w:t xml:space="preserve">API REST (FastAPI)</w:t>
      </w:r>
      <w:r>
        <w:rPr>
          <w:sz w:val="21"/>
          <w:szCs w:val="21"/>
        </w:rPr>
        <w:t xml:space="preserve">. Decisiones clave:</w:t>
      </w:r>
    </w:p>
    <w:p>
      <w:pPr>
        <w:spacing w:after="40" w:line="252" w:lineRule="auto"/>
        <w:ind w:left="360" w:hanging="220"/>
      </w:pPr>
      <w:r>
        <w:rPr>
          <w:b/>
          <w:bCs/>
          <w:color w:val="1F4E5F"/>
          <w:sz w:val="21"/>
          <w:szCs w:val="21"/>
        </w:rPr>
        <w:t xml:space="preserve">• </w:t>
      </w:r>
      <w:r>
        <w:rPr>
          <w:b/>
          <w:bCs/>
          <w:sz w:val="21"/>
          <w:szCs w:val="21"/>
        </w:rPr>
        <w:t xml:space="preserve">CNN y no una red densa:</w:t>
      </w:r>
      <w:r>
        <w:rPr>
          <w:sz w:val="21"/>
          <w:szCs w:val="21"/>
        </w:rPr>
        <w:t xml:space="preserve"> la entrada es una imagen; las convoluciones explotan la estructura espacial. </w:t>
      </w:r>
      <w:r>
        <w:rPr>
          <w:b/>
          <w:bCs/>
          <w:sz w:val="21"/>
          <w:szCs w:val="21"/>
        </w:rPr>
        <w:t xml:space="preserve">Transfer learning y no una CNN desde cero:</w:t>
      </w:r>
      <w:r>
        <w:rPr>
          <w:sz w:val="21"/>
          <w:szCs w:val="21"/>
        </w:rPr>
        <w:t xml:space="preserve"> con miles de imágenes (no millones) se reutilizan los filtros de ResNet50 preentrenada en ImageNet.</w:t>
      </w:r>
    </w:p>
    <w:p>
      <w:pPr>
        <w:spacing w:after="40" w:line="252" w:lineRule="auto"/>
        <w:ind w:left="360" w:hanging="220"/>
      </w:pPr>
      <w:r>
        <w:rPr>
          <w:b/>
          <w:bCs/>
          <w:color w:val="1F4E5F"/>
          <w:sz w:val="21"/>
          <w:szCs w:val="21"/>
        </w:rPr>
        <w:t xml:space="preserve">• </w:t>
      </w:r>
      <w:r>
        <w:rPr>
          <w:b/>
          <w:bCs/>
          <w:sz w:val="21"/>
          <w:szCs w:val="21"/>
        </w:rPr>
        <w:t xml:space="preserve">Entrenamiento en dos fases:</w:t>
      </w:r>
      <w:r>
        <w:rPr>
          <w:sz w:val="21"/>
          <w:szCs w:val="21"/>
        </w:rPr>
        <w:t xml:space="preserve"> primero solo la cabeza nueva (base congelada); después se descongela el último bloque de ResNet50 con un learning rate 100 veces menor, partiendo de ese modelo.</w:t>
      </w:r>
    </w:p>
    <w:p>
      <w:pPr>
        <w:spacing w:after="40" w:line="252" w:lineRule="auto"/>
        <w:ind w:left="360" w:hanging="220"/>
      </w:pPr>
      <w:r>
        <w:rPr>
          <w:b/>
          <w:bCs/>
          <w:color w:val="1F4E5F"/>
          <w:sz w:val="21"/>
          <w:szCs w:val="21"/>
        </w:rPr>
        <w:t xml:space="preserve">• </w:t>
      </w:r>
      <w:r>
        <w:rPr>
          <w:b/>
          <w:bCs/>
          <w:sz w:val="21"/>
          <w:szCs w:val="21"/>
        </w:rPr>
        <w:t xml:space="preserve">Selección con validación, reporte con test:</w:t>
      </w:r>
      <w:r>
        <w:rPr>
          <w:sz w:val="21"/>
          <w:szCs w:val="21"/>
        </w:rPr>
        <w:t xml:space="preserve"> el test (302 imágenes) no interviene en ninguna decisión. </w:t>
      </w:r>
      <w:r>
        <w:rPr>
          <w:b/>
          <w:bCs/>
          <w:sz w:val="21"/>
          <w:szCs w:val="21"/>
        </w:rPr>
        <w:t xml:space="preserve">Umbral clínico:</w:t>
      </w:r>
      <w:r>
        <w:rPr>
          <w:sz w:val="21"/>
          <w:szCs w:val="21"/>
        </w:rPr>
        <w:t xml:space="preserve"> el más alto que en validación detecta ≥ 95 % de las neumonías.</w:t>
      </w:r>
    </w:p>
    <w:p>
      <w:pPr>
        <w:spacing w:after="40" w:line="252" w:lineRule="auto"/>
        <w:ind w:left="360" w:hanging="220"/>
      </w:pPr>
      <w:r>
        <w:rPr>
          <w:b/>
          <w:bCs/>
          <w:color w:val="1F4E5F"/>
          <w:sz w:val="21"/>
          <w:szCs w:val="21"/>
        </w:rPr>
        <w:t xml:space="preserve">• </w:t>
      </w:r>
      <w:r>
        <w:rPr>
          <w:b/>
          <w:bCs/>
          <w:sz w:val="21"/>
          <w:szCs w:val="21"/>
        </w:rPr>
        <w:t xml:space="preserve">Local primero (Fase 1):</w:t>
      </w:r>
      <w:r>
        <w:rPr>
          <w:sz w:val="21"/>
          <w:szCs w:val="21"/>
        </w:rPr>
        <w:t xml:space="preserve"> con 2,000-6,000 imágenes un cluster no aporta. La migración a Databricks (Delta, tracking gestionado, Registry en Unity Catalog) está documentada en el README.</w:t>
      </w:r>
    </w:p>
    <w:p>
      <w:pPr>
        <w:pStyle w:val="Heading1"/>
        <w:keepNext/>
        <w:spacing w:after="60" w:before="200"/>
      </w:pPr>
      <w:r>
        <w:rPr>
          <w:b/>
          <w:bCs/>
          <w:color w:val="1F4E5F"/>
          <w:sz w:val="26"/>
          <w:szCs w:val="26"/>
        </w:rPr>
        <w:t xml:space="preserve">4. Modelo</w:t>
      </w:r>
    </w:p>
    <w:p>
      <w:pPr>
        <w:spacing w:after="100" w:line="259" w:lineRule="auto"/>
      </w:pPr>
      <w:r>
        <w:rPr>
          <w:b/>
          <w:bCs/>
          <w:sz w:val="21"/>
          <w:szCs w:val="21"/>
        </w:rPr>
        <w:t xml:space="preserve">ResNet50</w:t>
      </w:r>
      <w:r>
        <w:rPr>
          <w:sz w:val="21"/>
          <w:szCs w:val="21"/>
        </w:rPr>
        <w:t xml:space="preserve"> (ImageNet, sin top) → GlobalAveragePooling2D → Dropout(0.3) → Dense(1, sigmoid). Entrada 224×224 con preprocess_input de ResNet50. </w:t>
      </w:r>
      <w:r>
        <w:rPr>
          <w:b/>
          <w:bCs/>
          <w:sz w:val="21"/>
          <w:szCs w:val="21"/>
        </w:rPr>
        <w:t xml:space="preserve">Fase A:</w:t>
      </w:r>
      <w:r>
        <w:rPr>
          <w:sz w:val="21"/>
          <w:szCs w:val="21"/>
        </w:rPr>
        <w:t xml:space="preserve"> base congelada, Adam LR 1e-3, 10 épocas (2,049 parámetros entrenables). </w:t>
      </w:r>
      <w:r>
        <w:rPr>
          <w:b/>
          <w:bCs/>
          <w:sz w:val="21"/>
          <w:szCs w:val="21"/>
        </w:rPr>
        <w:t xml:space="preserve">Fase B:</w:t>
      </w:r>
      <w:r>
        <w:rPr>
          <w:sz w:val="21"/>
          <w:szCs w:val="21"/>
        </w:rPr>
        <w:t xml:space="preserve"> descongelado desde la capa 143 (bloque conv5, ~15 M parámetros), Adam LR 1e-5, 10 épocas. Batch 32, EarlyStopping(val_loss, patience 4), ReduceLROnPlateau, semilla 42. Augmentation: flip horizontal, rotación ±5 %, zoom ±10 %, contraste ±10 %. </w:t>
      </w:r>
      <w:r>
        <w:rPr>
          <w:b/>
          <w:bCs/>
          <w:sz w:val="21"/>
          <w:szCs w:val="21"/>
        </w:rPr>
        <w:t xml:space="preserve">Umbral de decisión: 0.585</w:t>
      </w:r>
      <w:r>
        <w:rPr>
          <w:sz w:val="21"/>
          <w:szCs w:val="21"/>
        </w:rPr>
        <w:t xml:space="preserve"> (umbral clínico).</w:t>
      </w:r>
    </w:p>
    <w:p>
      <w:pPr>
        <w:pStyle w:val="Heading1"/>
        <w:keepNext/>
        <w:pageBreakBefore/>
        <w:spacing w:after="60" w:before="200"/>
      </w:pPr>
      <w:r>
        <w:rPr>
          <w:b/>
          <w:bCs/>
          <w:color w:val="1F4E5F"/>
          <w:sz w:val="26"/>
          <w:szCs w:val="26"/>
        </w:rPr>
        <w:t xml:space="preserve">5. Resultados y evidencia</w:t>
      </w:r>
    </w:p>
    <w:p>
      <w:pPr>
        <w:spacing w:after="60" w:line="259" w:lineRule="auto"/>
      </w:pPr>
      <w:r>
        <w:rPr>
          <w:sz w:val="21"/>
          <w:szCs w:val="21"/>
        </w:rPr>
        <w:t xml:space="preserve">Modelo registrado, evaluado en el </w:t>
      </w:r>
      <w:r>
        <w:rPr>
          <w:b/>
          <w:bCs/>
          <w:sz w:val="21"/>
          <w:szCs w:val="21"/>
        </w:rPr>
        <w:t xml:space="preserve">test</w:t>
      </w:r>
      <w:r>
        <w:rPr>
          <w:sz w:val="21"/>
          <w:szCs w:val="21"/>
        </w:rPr>
        <w:t xml:space="preserve"> (302 imágenes: 156 neumonía / 146 normal) que nunca se usó para entrenar ni para elegir. Cifras de MLflow.</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2600"/>
        <w:gridCol w:w="2920"/>
      </w:tblGrid>
      <w:tr>
        <w:trPr>
          <w:tblHeader/>
        </w:trPr>
        <w:tc>
          <w:tcPr>
            <w:tcW w:type="dxa" w:w="3840"/>
            <w:shd w:fill="1F4E5F" w:val="clear"/>
            <w:tcMar>
              <w:top w:w="30" w:type="dxa"/>
              <w:bottom w:w="30" w:type="dxa"/>
            </w:tcMar>
          </w:tcPr>
          <w:p>
            <w:pPr>
              <w:spacing w:after="0"/>
            </w:pPr>
            <w:r>
              <w:rPr>
                <w:b/>
                <w:bCs/>
                <w:color w:val="FFFFFF"/>
                <w:sz w:val="19"/>
                <w:szCs w:val="19"/>
              </w:rPr>
              <w:t xml:space="preserve">Métrica (test)</w:t>
            </w:r>
          </w:p>
        </w:tc>
        <w:tc>
          <w:tcPr>
            <w:tcW w:type="dxa" w:w="2600"/>
            <w:shd w:fill="1F4E5F" w:val="clear"/>
            <w:tcMar>
              <w:top w:w="30" w:type="dxa"/>
              <w:bottom w:w="30" w:type="dxa"/>
            </w:tcMar>
          </w:tcPr>
          <w:p>
            <w:pPr>
              <w:spacing w:after="0"/>
            </w:pPr>
            <w:r>
              <w:rPr>
                <w:b/>
                <w:bCs/>
                <w:color w:val="FFFFFF"/>
                <w:sz w:val="19"/>
                <w:szCs w:val="19"/>
              </w:rPr>
              <w:t xml:space="preserve">Umbral 0.50</w:t>
            </w:r>
          </w:p>
        </w:tc>
        <w:tc>
          <w:tcPr>
            <w:tcW w:type="dxa" w:w="2920"/>
            <w:shd w:fill="1F4E5F" w:val="clear"/>
            <w:tcMar>
              <w:top w:w="30" w:type="dxa"/>
              <w:bottom w:w="30" w:type="dxa"/>
            </w:tcMar>
          </w:tcPr>
          <w:p>
            <w:pPr>
              <w:spacing w:after="0"/>
            </w:pPr>
            <w:r>
              <w:rPr>
                <w:b/>
                <w:bCs/>
                <w:color w:val="FFFFFF"/>
                <w:sz w:val="19"/>
                <w:szCs w:val="19"/>
              </w:rPr>
              <w:t xml:space="preserve">Umbral clínico 0.585 (elegido)</w:t>
            </w:r>
          </w:p>
        </w:tc>
      </w:tr>
      <w:tr>
        <w:tc>
          <w:tcPr>
            <w:tcW w:type="dxa" w:w="3840"/>
            <w:tcMar>
              <w:top w:w="30" w:type="dxa"/>
              <w:bottom w:w="30" w:type="dxa"/>
            </w:tcMar>
          </w:tcPr>
          <w:p>
            <w:pPr>
              <w:spacing w:after="0"/>
            </w:pPr>
            <w:r>
              <w:rPr>
                <w:sz w:val="19"/>
                <w:szCs w:val="19"/>
              </w:rPr>
              <w:t xml:space="preserve">Accuracy</w:t>
            </w:r>
          </w:p>
        </w:tc>
        <w:tc>
          <w:tcPr>
            <w:tcW w:type="dxa" w:w="2600"/>
            <w:tcMar>
              <w:top w:w="30" w:type="dxa"/>
              <w:bottom w:w="30" w:type="dxa"/>
            </w:tcMar>
          </w:tcPr>
          <w:p>
            <w:pPr>
              <w:spacing w:after="0"/>
              <w:jc w:val="center"/>
            </w:pPr>
            <w:r>
              <w:rPr>
                <w:sz w:val="19"/>
                <w:szCs w:val="19"/>
              </w:rPr>
              <w:t xml:space="preserve">0.934</w:t>
            </w:r>
          </w:p>
        </w:tc>
        <w:tc>
          <w:tcPr>
            <w:tcW w:type="dxa" w:w="2920"/>
            <w:tcMar>
              <w:top w:w="30" w:type="dxa"/>
              <w:bottom w:w="30" w:type="dxa"/>
            </w:tcMar>
          </w:tcPr>
          <w:p>
            <w:pPr>
              <w:spacing w:after="0"/>
              <w:jc w:val="center"/>
            </w:pPr>
            <w:r>
              <w:rPr>
                <w:sz w:val="19"/>
                <w:szCs w:val="19"/>
              </w:rPr>
              <w:t xml:space="preserve">0.937</w:t>
            </w:r>
          </w:p>
        </w:tc>
      </w:tr>
      <w:tr>
        <w:tc>
          <w:tcPr>
            <w:tcW w:type="dxa" w:w="3840"/>
            <w:tcMar>
              <w:top w:w="30" w:type="dxa"/>
              <w:bottom w:w="30" w:type="dxa"/>
            </w:tcMar>
          </w:tcPr>
          <w:p>
            <w:pPr>
              <w:spacing w:after="0"/>
            </w:pPr>
            <w:r>
              <w:rPr>
                <w:sz w:val="19"/>
                <w:szCs w:val="19"/>
              </w:rPr>
              <w:t xml:space="preserve">Precision</w:t>
            </w:r>
          </w:p>
        </w:tc>
        <w:tc>
          <w:tcPr>
            <w:tcW w:type="dxa" w:w="2600"/>
            <w:tcMar>
              <w:top w:w="30" w:type="dxa"/>
              <w:bottom w:w="30" w:type="dxa"/>
            </w:tcMar>
          </w:tcPr>
          <w:p>
            <w:pPr>
              <w:spacing w:after="0"/>
              <w:jc w:val="center"/>
            </w:pPr>
            <w:r>
              <w:rPr>
                <w:sz w:val="19"/>
                <w:szCs w:val="19"/>
              </w:rPr>
              <w:t xml:space="preserve">0.925</w:t>
            </w:r>
          </w:p>
        </w:tc>
        <w:tc>
          <w:tcPr>
            <w:tcW w:type="dxa" w:w="2920"/>
            <w:tcMar>
              <w:top w:w="30" w:type="dxa"/>
              <w:bottom w:w="30" w:type="dxa"/>
            </w:tcMar>
          </w:tcPr>
          <w:p>
            <w:pPr>
              <w:spacing w:after="0"/>
              <w:jc w:val="center"/>
            </w:pPr>
            <w:r>
              <w:rPr>
                <w:sz w:val="19"/>
                <w:szCs w:val="19"/>
              </w:rPr>
              <w:t xml:space="preserve">0.936</w:t>
            </w:r>
          </w:p>
        </w:tc>
      </w:tr>
      <w:tr>
        <w:tc>
          <w:tcPr>
            <w:tcW w:type="dxa" w:w="3840"/>
            <w:tcMar>
              <w:top w:w="30" w:type="dxa"/>
              <w:bottom w:w="30" w:type="dxa"/>
            </w:tcMar>
          </w:tcPr>
          <w:p>
            <w:pPr>
              <w:spacing w:after="0"/>
            </w:pPr>
            <w:r>
              <w:rPr>
                <w:sz w:val="19"/>
                <w:szCs w:val="19"/>
              </w:rPr>
              <w:t xml:space="preserve">Recall (sensibilidad)</w:t>
            </w:r>
          </w:p>
        </w:tc>
        <w:tc>
          <w:tcPr>
            <w:tcW w:type="dxa" w:w="2600"/>
            <w:tcMar>
              <w:top w:w="30" w:type="dxa"/>
              <w:bottom w:w="30" w:type="dxa"/>
            </w:tcMar>
          </w:tcPr>
          <w:p>
            <w:pPr>
              <w:spacing w:after="0"/>
              <w:jc w:val="center"/>
            </w:pPr>
            <w:r>
              <w:rPr>
                <w:sz w:val="19"/>
                <w:szCs w:val="19"/>
              </w:rPr>
              <w:t xml:space="preserve">0.949</w:t>
            </w:r>
          </w:p>
        </w:tc>
        <w:tc>
          <w:tcPr>
            <w:tcW w:type="dxa" w:w="2920"/>
            <w:tcMar>
              <w:top w:w="30" w:type="dxa"/>
              <w:bottom w:w="30" w:type="dxa"/>
            </w:tcMar>
          </w:tcPr>
          <w:p>
            <w:pPr>
              <w:spacing w:after="0"/>
              <w:jc w:val="center"/>
            </w:pPr>
            <w:r>
              <w:rPr>
                <w:sz w:val="19"/>
                <w:szCs w:val="19"/>
              </w:rPr>
              <w:t xml:space="preserve">0.942</w:t>
            </w:r>
          </w:p>
        </w:tc>
      </w:tr>
      <w:tr>
        <w:tc>
          <w:tcPr>
            <w:tcW w:type="dxa" w:w="3840"/>
            <w:tcMar>
              <w:top w:w="30" w:type="dxa"/>
              <w:bottom w:w="30" w:type="dxa"/>
            </w:tcMar>
          </w:tcPr>
          <w:p>
            <w:pPr>
              <w:spacing w:after="0"/>
            </w:pPr>
            <w:r>
              <w:rPr>
                <w:sz w:val="19"/>
                <w:szCs w:val="19"/>
              </w:rPr>
              <w:t xml:space="preserve">Especificidad</w:t>
            </w:r>
          </w:p>
        </w:tc>
        <w:tc>
          <w:tcPr>
            <w:tcW w:type="dxa" w:w="2600"/>
            <w:tcMar>
              <w:top w:w="30" w:type="dxa"/>
              <w:bottom w:w="30" w:type="dxa"/>
            </w:tcMar>
          </w:tcPr>
          <w:p>
            <w:pPr>
              <w:spacing w:after="0"/>
              <w:jc w:val="center"/>
            </w:pPr>
            <w:r>
              <w:rPr>
                <w:sz w:val="19"/>
                <w:szCs w:val="19"/>
              </w:rPr>
              <w:t xml:space="preserve">0.918</w:t>
            </w:r>
          </w:p>
        </w:tc>
        <w:tc>
          <w:tcPr>
            <w:tcW w:type="dxa" w:w="2920"/>
            <w:tcMar>
              <w:top w:w="30" w:type="dxa"/>
              <w:bottom w:w="30" w:type="dxa"/>
            </w:tcMar>
          </w:tcPr>
          <w:p>
            <w:pPr>
              <w:spacing w:after="0"/>
              <w:jc w:val="center"/>
            </w:pPr>
            <w:r>
              <w:rPr>
                <w:sz w:val="19"/>
                <w:szCs w:val="19"/>
              </w:rPr>
              <w:t xml:space="preserve">0.932</w:t>
            </w:r>
          </w:p>
        </w:tc>
      </w:tr>
      <w:tr>
        <w:tc>
          <w:tcPr>
            <w:tcW w:type="dxa" w:w="3840"/>
            <w:tcMar>
              <w:top w:w="30" w:type="dxa"/>
              <w:bottom w:w="30" w:type="dxa"/>
            </w:tcMar>
          </w:tcPr>
          <w:p>
            <w:pPr>
              <w:spacing w:after="0"/>
            </w:pPr>
            <w:r>
              <w:rPr>
                <w:sz w:val="19"/>
                <w:szCs w:val="19"/>
              </w:rPr>
              <w:t xml:space="preserve">F1-score</w:t>
            </w:r>
          </w:p>
        </w:tc>
        <w:tc>
          <w:tcPr>
            <w:tcW w:type="dxa" w:w="2600"/>
            <w:tcMar>
              <w:top w:w="30" w:type="dxa"/>
              <w:bottom w:w="30" w:type="dxa"/>
            </w:tcMar>
          </w:tcPr>
          <w:p>
            <w:pPr>
              <w:spacing w:after="0"/>
              <w:jc w:val="center"/>
            </w:pPr>
            <w:r>
              <w:rPr>
                <w:sz w:val="19"/>
                <w:szCs w:val="19"/>
              </w:rPr>
              <w:t xml:space="preserve">0.937</w:t>
            </w:r>
          </w:p>
        </w:tc>
        <w:tc>
          <w:tcPr>
            <w:tcW w:type="dxa" w:w="2920"/>
            <w:tcMar>
              <w:top w:w="30" w:type="dxa"/>
              <w:bottom w:w="30" w:type="dxa"/>
            </w:tcMar>
          </w:tcPr>
          <w:p>
            <w:pPr>
              <w:spacing w:after="0"/>
              <w:jc w:val="center"/>
            </w:pPr>
            <w:r>
              <w:rPr>
                <w:sz w:val="19"/>
                <w:szCs w:val="19"/>
              </w:rPr>
              <w:t xml:space="preserve">0.939</w:t>
            </w:r>
          </w:p>
        </w:tc>
      </w:tr>
      <w:tr>
        <w:tc>
          <w:tcPr>
            <w:tcW w:type="dxa" w:w="3840"/>
            <w:tcMar>
              <w:top w:w="30" w:type="dxa"/>
              <w:bottom w:w="30" w:type="dxa"/>
            </w:tcMar>
          </w:tcPr>
          <w:p>
            <w:pPr>
              <w:spacing w:after="0"/>
            </w:pPr>
            <w:r>
              <w:rPr>
                <w:sz w:val="19"/>
                <w:szCs w:val="19"/>
              </w:rPr>
              <w:t xml:space="preserve">ROC-AUC</w:t>
            </w:r>
          </w:p>
        </w:tc>
        <w:tc>
          <w:tcPr>
            <w:tcW w:type="dxa" w:w="2600"/>
            <w:tcMar>
              <w:top w:w="30" w:type="dxa"/>
              <w:bottom w:w="30" w:type="dxa"/>
            </w:tcMar>
          </w:tcPr>
          <w:p>
            <w:pPr>
              <w:spacing w:after="0"/>
              <w:jc w:val="center"/>
            </w:pPr>
            <w:r>
              <w:rPr>
                <w:sz w:val="19"/>
                <w:szCs w:val="19"/>
              </w:rPr>
              <w:t xml:space="preserve">0.987</w:t>
            </w:r>
          </w:p>
        </w:tc>
        <w:tc>
          <w:tcPr>
            <w:tcW w:type="dxa" w:w="2920"/>
            <w:tcMar>
              <w:top w:w="30" w:type="dxa"/>
              <w:bottom w:w="30" w:type="dxa"/>
            </w:tcMar>
          </w:tcPr>
          <w:p>
            <w:pPr>
              <w:spacing w:after="0"/>
              <w:jc w:val="center"/>
            </w:pPr>
            <w:r>
              <w:rPr>
                <w:sz w:val="19"/>
                <w:szCs w:val="19"/>
              </w:rPr>
              <w:t xml:space="preserve">0.987</w:t>
            </w:r>
          </w:p>
        </w:tc>
      </w:tr>
      <w:tr>
        <w:tc>
          <w:tcPr>
            <w:tcW w:type="dxa" w:w="3840"/>
            <w:tcMar>
              <w:top w:w="30" w:type="dxa"/>
              <w:bottom w:w="30" w:type="dxa"/>
            </w:tcMar>
          </w:tcPr>
          <w:p>
            <w:pPr>
              <w:spacing w:after="0"/>
            </w:pPr>
            <w:r>
              <w:rPr>
                <w:sz w:val="19"/>
                <w:szCs w:val="19"/>
              </w:rPr>
              <w:t xml:space="preserve">Neumonías no detectadas (FN)</w:t>
            </w:r>
          </w:p>
        </w:tc>
        <w:tc>
          <w:tcPr>
            <w:tcW w:type="dxa" w:w="2600"/>
            <w:tcMar>
              <w:top w:w="30" w:type="dxa"/>
              <w:bottom w:w="30" w:type="dxa"/>
            </w:tcMar>
          </w:tcPr>
          <w:p>
            <w:pPr>
              <w:spacing w:after="0"/>
              <w:jc w:val="center"/>
            </w:pPr>
            <w:r>
              <w:rPr>
                <w:sz w:val="19"/>
                <w:szCs w:val="19"/>
              </w:rPr>
              <w:t xml:space="preserve">8 de 156</w:t>
            </w:r>
          </w:p>
        </w:tc>
        <w:tc>
          <w:tcPr>
            <w:tcW w:type="dxa" w:w="2920"/>
            <w:tcMar>
              <w:top w:w="30" w:type="dxa"/>
              <w:bottom w:w="30" w:type="dxa"/>
            </w:tcMar>
          </w:tcPr>
          <w:p>
            <w:pPr>
              <w:spacing w:after="0"/>
              <w:jc w:val="center"/>
            </w:pPr>
            <w:r>
              <w:rPr>
                <w:sz w:val="19"/>
                <w:szCs w:val="19"/>
              </w:rPr>
              <w:t xml:space="preserve">9 de 156</w:t>
            </w:r>
          </w:p>
        </w:tc>
      </w:tr>
      <w:tr>
        <w:tc>
          <w:tcPr>
            <w:tcW w:type="dxa" w:w="3840"/>
            <w:tcMar>
              <w:top w:w="30" w:type="dxa"/>
              <w:bottom w:w="30" w:type="dxa"/>
            </w:tcMar>
          </w:tcPr>
          <w:p>
            <w:pPr>
              <w:spacing w:after="0"/>
            </w:pPr>
            <w:r>
              <w:rPr>
                <w:sz w:val="19"/>
                <w:szCs w:val="19"/>
              </w:rPr>
              <w:t xml:space="preserve">Falsas alarmas (FP)</w:t>
            </w:r>
          </w:p>
        </w:tc>
        <w:tc>
          <w:tcPr>
            <w:tcW w:type="dxa" w:w="2600"/>
            <w:tcMar>
              <w:top w:w="30" w:type="dxa"/>
              <w:bottom w:w="30" w:type="dxa"/>
            </w:tcMar>
          </w:tcPr>
          <w:p>
            <w:pPr>
              <w:spacing w:after="0"/>
              <w:jc w:val="center"/>
            </w:pPr>
            <w:r>
              <w:rPr>
                <w:sz w:val="19"/>
                <w:szCs w:val="19"/>
              </w:rPr>
              <w:t xml:space="preserve">12 de 146</w:t>
            </w:r>
          </w:p>
        </w:tc>
        <w:tc>
          <w:tcPr>
            <w:tcW w:type="dxa" w:w="2920"/>
            <w:tcMar>
              <w:top w:w="30" w:type="dxa"/>
              <w:bottom w:w="30" w:type="dxa"/>
            </w:tcMar>
          </w:tcPr>
          <w:p>
            <w:pPr>
              <w:spacing w:after="0"/>
              <w:jc w:val="center"/>
            </w:pPr>
            <w:r>
              <w:rPr>
                <w:sz w:val="19"/>
                <w:szCs w:val="19"/>
              </w:rPr>
              <w:t xml:space="preserve">10 de 146</w:t>
            </w:r>
          </w:p>
        </w:tc>
      </w:tr>
    </w:tbl>
    <w:p>
      <w:pPr>
        <w:spacing w:after="80" w:line="259" w:lineRule="auto"/>
      </w:pPr>
      <w:r>
        <w:rPr>
          <w:i/>
          <w:iCs/>
          <w:color w:val="666666"/>
          <w:sz w:val="17"/>
          <w:szCs w:val="17"/>
        </w:rPr>
        <w:t xml:space="preserve">Fuente: MLflow, run varA_finetune_2fases_lr1e-5 (run_id 648e23a2…), modelo aixray_pneumonia_classifier v1. El umbral clínico se fijó en validación (sensibilidad 96.8 %); en test la sensibilidad fue 94.2 %, apenas por debajo del objetivo del 95 %.</w:t>
      </w:r>
    </w:p>
    <w:p>
      <w:pPr>
        <w:pStyle w:val="Heading1"/>
        <w:keepNext/>
        <w:spacing w:after="60" w:before="200"/>
      </w:pPr>
      <w:r>
        <w:rPr>
          <w:b/>
          <w:bCs/>
          <w:color w:val="1F4E5F"/>
          <w:sz w:val="26"/>
          <w:szCs w:val="26"/>
        </w:rPr>
        <w:t xml:space="preserve">6. Experimentos</w:t>
      </w:r>
    </w:p>
    <w:p>
      <w:pPr>
        <w:spacing w:after="60" w:line="259" w:lineRule="auto"/>
      </w:pPr>
      <w:r>
        <w:rPr>
          <w:sz w:val="21"/>
          <w:szCs w:val="21"/>
        </w:rPr>
        <w:t xml:space="preserve">Cinco runs con el </w:t>
      </w:r>
      <w:r>
        <w:rPr>
          <w:b/>
          <w:bCs/>
          <w:sz w:val="21"/>
          <w:szCs w:val="21"/>
        </w:rPr>
        <w:t xml:space="preserve">mismo presupuesto</w:t>
      </w:r>
      <w:r>
        <w:rPr>
          <w:sz w:val="21"/>
          <w:szCs w:val="21"/>
        </w:rPr>
        <w:t xml:space="preserve"> (10 épocas). En clase se usaban 3, y el Run 2 seguía mejorando en la última, así que la comparación no era justa. Se elige por F1 de validación; el test solo se reporta.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60"/>
        <w:gridCol w:w="3700"/>
        <w:gridCol w:w="760"/>
        <w:gridCol w:w="900"/>
        <w:gridCol w:w="1150"/>
        <w:gridCol w:w="1150"/>
        <w:gridCol w:w="1140"/>
      </w:tblGrid>
      <w:tr>
        <w:trPr>
          <w:tblHeader/>
        </w:trPr>
        <w:tc>
          <w:tcPr>
            <w:tcW w:type="dxa" w:w="560"/>
            <w:shd w:fill="1F4E5F" w:val="clear"/>
            <w:tcMar>
              <w:top w:w="30" w:type="dxa"/>
              <w:bottom w:w="30" w:type="dxa"/>
            </w:tcMar>
          </w:tcPr>
          <w:p>
            <w:pPr>
              <w:spacing w:after="0"/>
            </w:pPr>
            <w:r>
              <w:rPr>
                <w:b/>
                <w:bCs/>
                <w:color w:val="FFFFFF"/>
                <w:sz w:val="19"/>
                <w:szCs w:val="19"/>
              </w:rPr>
              <w:t xml:space="preserve">Run</w:t>
            </w:r>
          </w:p>
        </w:tc>
        <w:tc>
          <w:tcPr>
            <w:tcW w:type="dxa" w:w="3700"/>
            <w:shd w:fill="1F4E5F" w:val="clear"/>
            <w:tcMar>
              <w:top w:w="30" w:type="dxa"/>
              <w:bottom w:w="30" w:type="dxa"/>
            </w:tcMar>
          </w:tcPr>
          <w:p>
            <w:pPr>
              <w:spacing w:after="0"/>
            </w:pPr>
            <w:r>
              <w:rPr>
                <w:b/>
                <w:bCs/>
                <w:color w:val="FFFFFF"/>
                <w:sz w:val="19"/>
                <w:szCs w:val="19"/>
              </w:rPr>
              <w:t xml:space="preserve">Arquitectura</w:t>
            </w:r>
          </w:p>
        </w:tc>
        <w:tc>
          <w:tcPr>
            <w:tcW w:type="dxa" w:w="760"/>
            <w:shd w:fill="1F4E5F" w:val="clear"/>
            <w:tcMar>
              <w:top w:w="30" w:type="dxa"/>
              <w:bottom w:w="30" w:type="dxa"/>
            </w:tcMar>
          </w:tcPr>
          <w:p>
            <w:pPr>
              <w:spacing w:after="0"/>
            </w:pPr>
            <w:r>
              <w:rPr>
                <w:b/>
                <w:bCs/>
                <w:color w:val="FFFFFF"/>
                <w:sz w:val="19"/>
                <w:szCs w:val="19"/>
              </w:rPr>
              <w:t xml:space="preserve">LR</w:t>
            </w:r>
          </w:p>
        </w:tc>
        <w:tc>
          <w:tcPr>
            <w:tcW w:type="dxa" w:w="900"/>
            <w:shd w:fill="1F4E5F" w:val="clear"/>
            <w:tcMar>
              <w:top w:w="30" w:type="dxa"/>
              <w:bottom w:w="30" w:type="dxa"/>
            </w:tcMar>
          </w:tcPr>
          <w:p>
            <w:pPr>
              <w:spacing w:after="0"/>
            </w:pPr>
            <w:r>
              <w:rPr>
                <w:b/>
                <w:bCs/>
                <w:color w:val="FFFFFF"/>
                <w:sz w:val="19"/>
                <w:szCs w:val="19"/>
              </w:rPr>
              <w:t xml:space="preserve">Dropout</w:t>
            </w:r>
          </w:p>
        </w:tc>
        <w:tc>
          <w:tcPr>
            <w:tcW w:type="dxa" w:w="1150"/>
            <w:shd w:fill="1F4E5F" w:val="clear"/>
            <w:tcMar>
              <w:top w:w="30" w:type="dxa"/>
              <w:bottom w:w="30" w:type="dxa"/>
            </w:tcMar>
          </w:tcPr>
          <w:p>
            <w:pPr>
              <w:spacing w:after="0"/>
            </w:pPr>
            <w:r>
              <w:rPr>
                <w:b/>
                <w:bCs/>
                <w:color w:val="FFFFFF"/>
                <w:sz w:val="19"/>
                <w:szCs w:val="19"/>
              </w:rPr>
              <w:t xml:space="preserve">F1 val</w:t>
            </w:r>
          </w:p>
        </w:tc>
        <w:tc>
          <w:tcPr>
            <w:tcW w:type="dxa" w:w="1150"/>
            <w:shd w:fill="1F4E5F" w:val="clear"/>
            <w:tcMar>
              <w:top w:w="30" w:type="dxa"/>
              <w:bottom w:w="30" w:type="dxa"/>
            </w:tcMar>
          </w:tcPr>
          <w:p>
            <w:pPr>
              <w:spacing w:after="0"/>
            </w:pPr>
            <w:r>
              <w:rPr>
                <w:b/>
                <w:bCs/>
                <w:color w:val="FFFFFF"/>
                <w:sz w:val="19"/>
                <w:szCs w:val="19"/>
              </w:rPr>
              <w:t xml:space="preserve">F1 test</w:t>
            </w:r>
          </w:p>
        </w:tc>
        <w:tc>
          <w:tcPr>
            <w:tcW w:type="dxa" w:w="1140"/>
            <w:shd w:fill="1F4E5F" w:val="clear"/>
            <w:tcMar>
              <w:top w:w="30" w:type="dxa"/>
              <w:bottom w:w="30" w:type="dxa"/>
            </w:tcMar>
          </w:tcPr>
          <w:p>
            <w:pPr>
              <w:spacing w:after="0"/>
            </w:pPr>
            <w:r>
              <w:rPr>
                <w:b/>
                <w:bCs/>
                <w:color w:val="FFFFFF"/>
                <w:sz w:val="19"/>
                <w:szCs w:val="19"/>
              </w:rPr>
              <w:t xml:space="preserve">AUC test</w:t>
            </w:r>
          </w:p>
        </w:tc>
      </w:tr>
      <w:tr>
        <w:tc>
          <w:tcPr>
            <w:tcW w:type="dxa" w:w="560"/>
            <w:tcMar>
              <w:top w:w="30" w:type="dxa"/>
              <w:bottom w:w="30" w:type="dxa"/>
            </w:tcMar>
          </w:tcPr>
          <w:p>
            <w:pPr>
              <w:spacing w:after="0"/>
              <w:jc w:val="center"/>
            </w:pPr>
            <w:r>
              <w:rPr>
                <w:sz w:val="19"/>
                <w:szCs w:val="19"/>
              </w:rPr>
              <w:t xml:space="preserve">1</w:t>
            </w:r>
          </w:p>
        </w:tc>
        <w:tc>
          <w:tcPr>
            <w:tcW w:type="dxa" w:w="3700"/>
            <w:tcMar>
              <w:top w:w="30" w:type="dxa"/>
              <w:bottom w:w="30" w:type="dxa"/>
            </w:tcMar>
          </w:tcPr>
          <w:p>
            <w:pPr>
              <w:spacing w:after="0"/>
            </w:pPr>
            <w:r>
              <w:rPr>
                <w:sz w:val="19"/>
                <w:szCs w:val="19"/>
              </w:rPr>
              <w:t xml:space="preserve">ResNet50 congelado</w:t>
            </w:r>
          </w:p>
        </w:tc>
        <w:tc>
          <w:tcPr>
            <w:tcW w:type="dxa" w:w="760"/>
            <w:tcMar>
              <w:top w:w="30" w:type="dxa"/>
              <w:bottom w:w="30" w:type="dxa"/>
            </w:tcMar>
          </w:tcPr>
          <w:p>
            <w:pPr>
              <w:spacing w:after="0"/>
              <w:jc w:val="center"/>
            </w:pPr>
            <w:r>
              <w:rPr>
                <w:sz w:val="19"/>
                <w:szCs w:val="19"/>
              </w:rPr>
              <w:t xml:space="preserve">1e-3</w:t>
            </w:r>
          </w:p>
        </w:tc>
        <w:tc>
          <w:tcPr>
            <w:tcW w:type="dxa" w:w="900"/>
            <w:tcMar>
              <w:top w:w="30" w:type="dxa"/>
              <w:bottom w:w="30" w:type="dxa"/>
            </w:tcMar>
          </w:tcPr>
          <w:p>
            <w:pPr>
              <w:spacing w:after="0"/>
              <w:jc w:val="center"/>
            </w:pPr>
            <w:r>
              <w:rPr>
                <w:sz w:val="19"/>
                <w:szCs w:val="19"/>
              </w:rPr>
              <w:t xml:space="preserve">0.3</w:t>
            </w:r>
          </w:p>
        </w:tc>
        <w:tc>
          <w:tcPr>
            <w:tcW w:type="dxa" w:w="1150"/>
            <w:tcMar>
              <w:top w:w="30" w:type="dxa"/>
              <w:bottom w:w="30" w:type="dxa"/>
            </w:tcMar>
          </w:tcPr>
          <w:p>
            <w:pPr>
              <w:spacing w:after="0"/>
              <w:jc w:val="center"/>
            </w:pPr>
            <w:r>
              <w:rPr>
                <w:sz w:val="19"/>
                <w:szCs w:val="19"/>
              </w:rPr>
              <w:t xml:space="preserve">0.937</w:t>
            </w:r>
          </w:p>
        </w:tc>
        <w:tc>
          <w:tcPr>
            <w:tcW w:type="dxa" w:w="1150"/>
            <w:tcMar>
              <w:top w:w="30" w:type="dxa"/>
              <w:bottom w:w="30" w:type="dxa"/>
            </w:tcMar>
          </w:tcPr>
          <w:p>
            <w:pPr>
              <w:spacing w:after="0"/>
              <w:jc w:val="center"/>
            </w:pPr>
            <w:r>
              <w:rPr>
                <w:sz w:val="19"/>
                <w:szCs w:val="19"/>
              </w:rPr>
              <w:t xml:space="preserve">0.916</w:t>
            </w:r>
          </w:p>
        </w:tc>
        <w:tc>
          <w:tcPr>
            <w:tcW w:type="dxa" w:w="1140"/>
            <w:tcMar>
              <w:top w:w="30" w:type="dxa"/>
              <w:bottom w:w="30" w:type="dxa"/>
            </w:tcMar>
          </w:tcPr>
          <w:p>
            <w:pPr>
              <w:spacing w:after="0"/>
              <w:jc w:val="center"/>
            </w:pPr>
            <w:r>
              <w:rPr>
                <w:sz w:val="19"/>
                <w:szCs w:val="19"/>
              </w:rPr>
              <w:t xml:space="preserve">0.979</w:t>
            </w:r>
          </w:p>
        </w:tc>
      </w:tr>
      <w:tr>
        <w:tc>
          <w:tcPr>
            <w:tcW w:type="dxa" w:w="560"/>
            <w:tcMar>
              <w:top w:w="30" w:type="dxa"/>
              <w:bottom w:w="30" w:type="dxa"/>
            </w:tcMar>
          </w:tcPr>
          <w:p>
            <w:pPr>
              <w:spacing w:after="0"/>
              <w:jc w:val="center"/>
            </w:pPr>
            <w:r>
              <w:rPr>
                <w:sz w:val="19"/>
                <w:szCs w:val="19"/>
              </w:rPr>
              <w:t xml:space="preserve">2</w:t>
            </w:r>
          </w:p>
        </w:tc>
        <w:tc>
          <w:tcPr>
            <w:tcW w:type="dxa" w:w="3700"/>
            <w:tcMar>
              <w:top w:w="30" w:type="dxa"/>
              <w:bottom w:w="30" w:type="dxa"/>
            </w:tcMar>
          </w:tcPr>
          <w:p>
            <w:pPr>
              <w:spacing w:after="0"/>
            </w:pPr>
            <w:r>
              <w:rPr>
                <w:sz w:val="19"/>
                <w:szCs w:val="19"/>
              </w:rPr>
              <w:t xml:space="preserve">ResNet50 congelado</w:t>
            </w:r>
          </w:p>
        </w:tc>
        <w:tc>
          <w:tcPr>
            <w:tcW w:type="dxa" w:w="760"/>
            <w:tcMar>
              <w:top w:w="30" w:type="dxa"/>
              <w:bottom w:w="30" w:type="dxa"/>
            </w:tcMar>
          </w:tcPr>
          <w:p>
            <w:pPr>
              <w:spacing w:after="0"/>
              <w:jc w:val="center"/>
            </w:pPr>
            <w:r>
              <w:rPr>
                <w:sz w:val="19"/>
                <w:szCs w:val="19"/>
              </w:rPr>
              <w:t xml:space="preserve">1e-4</w:t>
            </w:r>
          </w:p>
        </w:tc>
        <w:tc>
          <w:tcPr>
            <w:tcW w:type="dxa" w:w="900"/>
            <w:tcMar>
              <w:top w:w="30" w:type="dxa"/>
              <w:bottom w:w="30" w:type="dxa"/>
            </w:tcMar>
          </w:tcPr>
          <w:p>
            <w:pPr>
              <w:spacing w:after="0"/>
              <w:jc w:val="center"/>
            </w:pPr>
            <w:r>
              <w:rPr>
                <w:sz w:val="19"/>
                <w:szCs w:val="19"/>
              </w:rPr>
              <w:t xml:space="preserve">0.5</w:t>
            </w:r>
          </w:p>
        </w:tc>
        <w:tc>
          <w:tcPr>
            <w:tcW w:type="dxa" w:w="1150"/>
            <w:tcMar>
              <w:top w:w="30" w:type="dxa"/>
              <w:bottom w:w="30" w:type="dxa"/>
            </w:tcMar>
          </w:tcPr>
          <w:p>
            <w:pPr>
              <w:spacing w:after="0"/>
              <w:jc w:val="center"/>
            </w:pPr>
            <w:r>
              <w:rPr>
                <w:sz w:val="19"/>
                <w:szCs w:val="19"/>
              </w:rPr>
              <w:t xml:space="preserve">0.909</w:t>
            </w:r>
          </w:p>
        </w:tc>
        <w:tc>
          <w:tcPr>
            <w:tcW w:type="dxa" w:w="1150"/>
            <w:tcMar>
              <w:top w:w="30" w:type="dxa"/>
              <w:bottom w:w="30" w:type="dxa"/>
            </w:tcMar>
          </w:tcPr>
          <w:p>
            <w:pPr>
              <w:spacing w:after="0"/>
              <w:jc w:val="center"/>
            </w:pPr>
            <w:r>
              <w:rPr>
                <w:sz w:val="19"/>
                <w:szCs w:val="19"/>
              </w:rPr>
              <w:t xml:space="preserve">0.889</w:t>
            </w:r>
          </w:p>
        </w:tc>
        <w:tc>
          <w:tcPr>
            <w:tcW w:type="dxa" w:w="1140"/>
            <w:tcMar>
              <w:top w:w="30" w:type="dxa"/>
              <w:bottom w:w="30" w:type="dxa"/>
            </w:tcMar>
          </w:tcPr>
          <w:p>
            <w:pPr>
              <w:spacing w:after="0"/>
              <w:jc w:val="center"/>
            </w:pPr>
            <w:r>
              <w:rPr>
                <w:sz w:val="19"/>
                <w:szCs w:val="19"/>
              </w:rPr>
              <w:t xml:space="preserve">0.963</w:t>
            </w:r>
          </w:p>
        </w:tc>
      </w:tr>
      <w:tr>
        <w:tc>
          <w:tcPr>
            <w:tcW w:type="dxa" w:w="560"/>
            <w:tcMar>
              <w:top w:w="30" w:type="dxa"/>
              <w:bottom w:w="30" w:type="dxa"/>
            </w:tcMar>
          </w:tcPr>
          <w:p>
            <w:pPr>
              <w:spacing w:after="0"/>
              <w:jc w:val="center"/>
            </w:pPr>
            <w:r>
              <w:rPr>
                <w:sz w:val="19"/>
                <w:szCs w:val="19"/>
              </w:rPr>
              <w:t xml:space="preserve">3</w:t>
            </w:r>
          </w:p>
        </w:tc>
        <w:tc>
          <w:tcPr>
            <w:tcW w:type="dxa" w:w="3700"/>
            <w:tcMar>
              <w:top w:w="30" w:type="dxa"/>
              <w:bottom w:w="30" w:type="dxa"/>
            </w:tcMar>
          </w:tcPr>
          <w:p>
            <w:pPr>
              <w:spacing w:after="0"/>
            </w:pPr>
            <w:r>
              <w:rPr>
                <w:sz w:val="19"/>
                <w:szCs w:val="19"/>
              </w:rPr>
              <w:t xml:space="preserve">Fine-tuning en 1 paso (cabeza aleatoria)</w:t>
            </w:r>
          </w:p>
        </w:tc>
        <w:tc>
          <w:tcPr>
            <w:tcW w:type="dxa" w:w="760"/>
            <w:tcMar>
              <w:top w:w="30" w:type="dxa"/>
              <w:bottom w:w="30" w:type="dxa"/>
            </w:tcMar>
          </w:tcPr>
          <w:p>
            <w:pPr>
              <w:spacing w:after="0"/>
              <w:jc w:val="center"/>
            </w:pPr>
            <w:r>
              <w:rPr>
                <w:sz w:val="19"/>
                <w:szCs w:val="19"/>
              </w:rPr>
              <w:t xml:space="preserve">1e-5</w:t>
            </w:r>
          </w:p>
        </w:tc>
        <w:tc>
          <w:tcPr>
            <w:tcW w:type="dxa" w:w="900"/>
            <w:tcMar>
              <w:top w:w="30" w:type="dxa"/>
              <w:bottom w:w="30" w:type="dxa"/>
            </w:tcMar>
          </w:tcPr>
          <w:p>
            <w:pPr>
              <w:spacing w:after="0"/>
              <w:jc w:val="center"/>
            </w:pPr>
            <w:r>
              <w:rPr>
                <w:sz w:val="19"/>
                <w:szCs w:val="19"/>
              </w:rPr>
              <w:t xml:space="preserve">0.3</w:t>
            </w:r>
          </w:p>
        </w:tc>
        <w:tc>
          <w:tcPr>
            <w:tcW w:type="dxa" w:w="1150"/>
            <w:tcMar>
              <w:top w:w="30" w:type="dxa"/>
              <w:bottom w:w="30" w:type="dxa"/>
            </w:tcMar>
          </w:tcPr>
          <w:p>
            <w:pPr>
              <w:spacing w:after="0"/>
              <w:jc w:val="center"/>
            </w:pPr>
            <w:r>
              <w:rPr>
                <w:sz w:val="19"/>
                <w:szCs w:val="19"/>
              </w:rPr>
              <w:t xml:space="preserve">0.949</w:t>
            </w:r>
          </w:p>
        </w:tc>
        <w:tc>
          <w:tcPr>
            <w:tcW w:type="dxa" w:w="1150"/>
            <w:tcMar>
              <w:top w:w="30" w:type="dxa"/>
              <w:bottom w:w="30" w:type="dxa"/>
            </w:tcMar>
          </w:tcPr>
          <w:p>
            <w:pPr>
              <w:spacing w:after="0"/>
              <w:jc w:val="center"/>
            </w:pPr>
            <w:r>
              <w:rPr>
                <w:sz w:val="19"/>
                <w:szCs w:val="19"/>
              </w:rPr>
              <w:t xml:space="preserve">0.952</w:t>
            </w:r>
          </w:p>
        </w:tc>
        <w:tc>
          <w:tcPr>
            <w:tcW w:type="dxa" w:w="1140"/>
            <w:tcMar>
              <w:top w:w="30" w:type="dxa"/>
              <w:bottom w:w="30" w:type="dxa"/>
            </w:tcMar>
          </w:tcPr>
          <w:p>
            <w:pPr>
              <w:spacing w:after="0"/>
              <w:jc w:val="center"/>
            </w:pPr>
            <w:r>
              <w:rPr>
                <w:sz w:val="19"/>
                <w:szCs w:val="19"/>
              </w:rPr>
              <w:t xml:space="preserve">0.989</w:t>
            </w:r>
          </w:p>
        </w:tc>
      </w:tr>
      <w:tr>
        <w:tc>
          <w:tcPr>
            <w:tcW w:type="dxa" w:w="560"/>
            <w:shd w:fill="E8F1F8" w:val="clear"/>
            <w:tcMar>
              <w:top w:w="30" w:type="dxa"/>
              <w:bottom w:w="30" w:type="dxa"/>
            </w:tcMar>
          </w:tcPr>
          <w:p>
            <w:pPr>
              <w:spacing w:after="0"/>
              <w:jc w:val="center"/>
            </w:pPr>
            <w:r>
              <w:rPr>
                <w:b/>
                <w:bCs/>
                <w:sz w:val="19"/>
                <w:szCs w:val="19"/>
              </w:rPr>
              <w:t xml:space="preserve">A</w:t>
            </w:r>
          </w:p>
        </w:tc>
        <w:tc>
          <w:tcPr>
            <w:tcW w:type="dxa" w:w="3700"/>
            <w:shd w:fill="E8F1F8" w:val="clear"/>
            <w:tcMar>
              <w:top w:w="30" w:type="dxa"/>
              <w:bottom w:w="30" w:type="dxa"/>
            </w:tcMar>
          </w:tcPr>
          <w:p>
            <w:pPr>
              <w:spacing w:after="0"/>
            </w:pPr>
            <w:r>
              <w:rPr>
                <w:b/>
                <w:bCs/>
                <w:sz w:val="19"/>
                <w:szCs w:val="19"/>
              </w:rPr>
              <w:t xml:space="preserve">Fine-tuning en 2 fases (parte del Run 1)</w:t>
            </w:r>
          </w:p>
        </w:tc>
        <w:tc>
          <w:tcPr>
            <w:tcW w:type="dxa" w:w="760"/>
            <w:shd w:fill="E8F1F8" w:val="clear"/>
            <w:tcMar>
              <w:top w:w="30" w:type="dxa"/>
              <w:bottom w:w="30" w:type="dxa"/>
            </w:tcMar>
          </w:tcPr>
          <w:p>
            <w:pPr>
              <w:spacing w:after="0"/>
              <w:jc w:val="center"/>
            </w:pPr>
            <w:r>
              <w:rPr>
                <w:b/>
                <w:bCs/>
                <w:sz w:val="19"/>
                <w:szCs w:val="19"/>
              </w:rPr>
              <w:t xml:space="preserve">1e-5</w:t>
            </w:r>
          </w:p>
        </w:tc>
        <w:tc>
          <w:tcPr>
            <w:tcW w:type="dxa" w:w="900"/>
            <w:shd w:fill="E8F1F8" w:val="clear"/>
            <w:tcMar>
              <w:top w:w="30" w:type="dxa"/>
              <w:bottom w:w="30" w:type="dxa"/>
            </w:tcMar>
          </w:tcPr>
          <w:p>
            <w:pPr>
              <w:spacing w:after="0"/>
              <w:jc w:val="center"/>
            </w:pPr>
            <w:r>
              <w:rPr>
                <w:b/>
                <w:bCs/>
                <w:sz w:val="19"/>
                <w:szCs w:val="19"/>
              </w:rPr>
              <w:t xml:space="preserve">0.3</w:t>
            </w:r>
          </w:p>
        </w:tc>
        <w:tc>
          <w:tcPr>
            <w:tcW w:type="dxa" w:w="1150"/>
            <w:shd w:fill="E8F1F8" w:val="clear"/>
            <w:tcMar>
              <w:top w:w="30" w:type="dxa"/>
              <w:bottom w:w="30" w:type="dxa"/>
            </w:tcMar>
          </w:tcPr>
          <w:p>
            <w:pPr>
              <w:spacing w:after="0"/>
              <w:jc w:val="center"/>
            </w:pPr>
            <w:r>
              <w:rPr>
                <w:b/>
                <w:bCs/>
                <w:sz w:val="19"/>
                <w:szCs w:val="19"/>
              </w:rPr>
              <w:t xml:space="preserve">0.962</w:t>
            </w:r>
          </w:p>
        </w:tc>
        <w:tc>
          <w:tcPr>
            <w:tcW w:type="dxa" w:w="1150"/>
            <w:shd w:fill="E8F1F8" w:val="clear"/>
            <w:tcMar>
              <w:top w:w="30" w:type="dxa"/>
              <w:bottom w:w="30" w:type="dxa"/>
            </w:tcMar>
          </w:tcPr>
          <w:p>
            <w:pPr>
              <w:spacing w:after="0"/>
              <w:jc w:val="center"/>
            </w:pPr>
            <w:r>
              <w:rPr>
                <w:b/>
                <w:bCs/>
                <w:sz w:val="19"/>
                <w:szCs w:val="19"/>
              </w:rPr>
              <w:t xml:space="preserve">0.937</w:t>
            </w:r>
          </w:p>
        </w:tc>
        <w:tc>
          <w:tcPr>
            <w:tcW w:type="dxa" w:w="1140"/>
            <w:shd w:fill="E8F1F8" w:val="clear"/>
            <w:tcMar>
              <w:top w:w="30" w:type="dxa"/>
              <w:bottom w:w="30" w:type="dxa"/>
            </w:tcMar>
          </w:tcPr>
          <w:p>
            <w:pPr>
              <w:spacing w:after="0"/>
              <w:jc w:val="center"/>
            </w:pPr>
            <w:r>
              <w:rPr>
                <w:b/>
                <w:bCs/>
                <w:sz w:val="19"/>
                <w:szCs w:val="19"/>
              </w:rPr>
              <w:t xml:space="preserve">0.987</w:t>
            </w:r>
          </w:p>
        </w:tc>
      </w:tr>
      <w:tr>
        <w:tc>
          <w:tcPr>
            <w:tcW w:type="dxa" w:w="560"/>
            <w:tcMar>
              <w:top w:w="30" w:type="dxa"/>
              <w:bottom w:w="30" w:type="dxa"/>
            </w:tcMar>
          </w:tcPr>
          <w:p>
            <w:pPr>
              <w:spacing w:after="0"/>
              <w:jc w:val="center"/>
            </w:pPr>
            <w:r>
              <w:rPr>
                <w:sz w:val="19"/>
                <w:szCs w:val="19"/>
              </w:rPr>
              <w:t xml:space="preserve">B</w:t>
            </w:r>
          </w:p>
        </w:tc>
        <w:tc>
          <w:tcPr>
            <w:tcW w:type="dxa" w:w="3700"/>
            <w:tcMar>
              <w:top w:w="30" w:type="dxa"/>
              <w:bottom w:w="30" w:type="dxa"/>
            </w:tcMar>
          </w:tcPr>
          <w:p>
            <w:pPr>
              <w:spacing w:after="0"/>
            </w:pPr>
            <w:r>
              <w:rPr>
                <w:sz w:val="19"/>
                <w:szCs w:val="19"/>
              </w:rPr>
              <w:t xml:space="preserve">Run 1 sin flip horizontal</w:t>
            </w:r>
          </w:p>
        </w:tc>
        <w:tc>
          <w:tcPr>
            <w:tcW w:type="dxa" w:w="760"/>
            <w:tcMar>
              <w:top w:w="30" w:type="dxa"/>
              <w:bottom w:w="30" w:type="dxa"/>
            </w:tcMar>
          </w:tcPr>
          <w:p>
            <w:pPr>
              <w:spacing w:after="0"/>
              <w:jc w:val="center"/>
            </w:pPr>
            <w:r>
              <w:rPr>
                <w:sz w:val="19"/>
                <w:szCs w:val="19"/>
              </w:rPr>
              <w:t xml:space="preserve">1e-3</w:t>
            </w:r>
          </w:p>
        </w:tc>
        <w:tc>
          <w:tcPr>
            <w:tcW w:type="dxa" w:w="900"/>
            <w:tcMar>
              <w:top w:w="30" w:type="dxa"/>
              <w:bottom w:w="30" w:type="dxa"/>
            </w:tcMar>
          </w:tcPr>
          <w:p>
            <w:pPr>
              <w:spacing w:after="0"/>
              <w:jc w:val="center"/>
            </w:pPr>
            <w:r>
              <w:rPr>
                <w:sz w:val="19"/>
                <w:szCs w:val="19"/>
              </w:rPr>
              <w:t xml:space="preserve">0.3</w:t>
            </w:r>
          </w:p>
        </w:tc>
        <w:tc>
          <w:tcPr>
            <w:tcW w:type="dxa" w:w="1150"/>
            <w:tcMar>
              <w:top w:w="30" w:type="dxa"/>
              <w:bottom w:w="30" w:type="dxa"/>
            </w:tcMar>
          </w:tcPr>
          <w:p>
            <w:pPr>
              <w:spacing w:after="0"/>
              <w:jc w:val="center"/>
            </w:pPr>
            <w:r>
              <w:rPr>
                <w:sz w:val="19"/>
                <w:szCs w:val="19"/>
              </w:rPr>
              <w:t xml:space="preserve">0.933</w:t>
            </w:r>
          </w:p>
        </w:tc>
        <w:tc>
          <w:tcPr>
            <w:tcW w:type="dxa" w:w="1150"/>
            <w:tcMar>
              <w:top w:w="30" w:type="dxa"/>
              <w:bottom w:w="30" w:type="dxa"/>
            </w:tcMar>
          </w:tcPr>
          <w:p>
            <w:pPr>
              <w:spacing w:after="0"/>
              <w:jc w:val="center"/>
            </w:pPr>
            <w:r>
              <w:rPr>
                <w:sz w:val="19"/>
                <w:szCs w:val="19"/>
              </w:rPr>
              <w:t xml:space="preserve">0.917</w:t>
            </w:r>
          </w:p>
        </w:tc>
        <w:tc>
          <w:tcPr>
            <w:tcW w:type="dxa" w:w="1140"/>
            <w:tcMar>
              <w:top w:w="30" w:type="dxa"/>
              <w:bottom w:w="30" w:type="dxa"/>
            </w:tcMar>
          </w:tcPr>
          <w:p>
            <w:pPr>
              <w:spacing w:after="0"/>
              <w:jc w:val="center"/>
            </w:pPr>
            <w:r>
              <w:rPr>
                <w:sz w:val="19"/>
                <w:szCs w:val="19"/>
              </w:rPr>
              <w:t xml:space="preserve">0.979</w:t>
            </w:r>
          </w:p>
        </w:tc>
      </w:tr>
    </w:tbl>
    <w:p>
      <w:pPr>
        <w:spacing w:before="60" w:after="40"/>
        <w:jc w:val="center"/>
      </w:pPr>
      <w:r>
        <w:drawing>
          <wp:inline distT="0" distB="0" distL="0" distR="0">
            <wp:extent cx="5852160" cy="1813899"/>
            <wp:docPr id="101" name="comparacion_runs_f1"/>
            <a:graphic xmlns:a="http://schemas.openxmlformats.org/drawingml/2006/main">
              <a:graphicData uri="http://schemas.openxmlformats.org/drawingml/2006/picture">
                <pic:pic xmlns:pic="http://schemas.openxmlformats.org/drawingml/2006/picture">
                  <pic:nvPicPr>
                    <pic:cNvPr id="101" name="comparacion_runs_f1"/>
                    <pic:cNvPicPr/>
                  </pic:nvPicPr>
                  <pic:blipFill>
                    <a:blip r:embed="rIdImg1"/>
                    <a:stretch>
                      <a:fillRect/>
                    </a:stretch>
                  </pic:blipFill>
                  <pic:spPr>
                    <a:xfrm>
                      <a:off x="0" y="0"/>
                      <a:ext cx="5852160" cy="1813899"/>
                    </a:xfrm>
                    <a:prstGeom prst="rect">
                      <a:avLst/>
                    </a:prstGeom>
                  </pic:spPr>
                </pic:pic>
              </a:graphicData>
            </a:graphic>
          </wp:inline>
        </w:drawing>
      </w:r>
    </w:p>
    <w:p>
      <w:pPr>
        <w:spacing w:after="40" w:line="252" w:lineRule="auto"/>
        <w:ind w:left="360" w:hanging="220"/>
      </w:pPr>
      <w:r>
        <w:rPr>
          <w:b/>
          <w:bCs/>
          <w:color w:val="1F4E5F"/>
          <w:sz w:val="21"/>
          <w:szCs w:val="21"/>
        </w:rPr>
        <w:t xml:space="preserve">• </w:t>
      </w:r>
      <w:r>
        <w:rPr>
          <w:b/>
          <w:bCs/>
          <w:sz w:val="21"/>
          <w:szCs w:val="21"/>
        </w:rPr>
        <w:t xml:space="preserve">Variante A (propia):</w:t>
      </w:r>
      <w:r>
        <w:rPr>
          <w:sz w:val="21"/>
          <w:szCs w:val="21"/>
        </w:rPr>
        <w:t xml:space="preserve"> el Run 3 de clase hacía fine-tuning con una cabeza aleatoria. Partir del modelo ya entrenado es la receta estándar. Resultado: el mejor F1 de validación (0.962 vs. 0.949 del Run 3 y 0.937 del Run 1).</w:t>
      </w:r>
    </w:p>
    <w:p>
      <w:pPr>
        <w:spacing w:after="40" w:line="252" w:lineRule="auto"/>
        <w:ind w:left="360" w:hanging="220"/>
      </w:pPr>
      <w:r>
        <w:rPr>
          <w:b/>
          <w:bCs/>
          <w:color w:val="1F4E5F"/>
          <w:sz w:val="21"/>
          <w:szCs w:val="21"/>
        </w:rPr>
        <w:t xml:space="preserve">• </w:t>
      </w:r>
      <w:r>
        <w:rPr>
          <w:b/>
          <w:bCs/>
          <w:sz w:val="21"/>
          <w:szCs w:val="21"/>
        </w:rPr>
        <w:t xml:space="preserve">Variante B (propia):</w:t>
      </w:r>
      <w:r>
        <w:rPr>
          <w:sz w:val="21"/>
          <w:szCs w:val="21"/>
        </w:rPr>
        <w:t xml:space="preserve"> el flip horizontal invierte la anatomía (corazón a la derecha) y espeja el marcador "R" de la placa. La ablación (único cambio) no mostró mejora (0.933 vs. 0.937): es un </w:t>
      </w:r>
      <w:r>
        <w:rPr>
          <w:b/>
          <w:bCs/>
          <w:sz w:val="21"/>
          <w:szCs w:val="21"/>
        </w:rPr>
        <w:t xml:space="preserve">resultado negativo</w:t>
      </w:r>
      <w:r>
        <w:rPr>
          <w:sz w:val="21"/>
          <w:szCs w:val="21"/>
        </w:rPr>
        <w:t xml:space="preserve">, y se mantiene el flip.</w:t>
      </w:r>
    </w:p>
    <w:p>
      <w:pPr>
        <w:spacing w:after="40" w:line="252" w:lineRule="auto"/>
        <w:ind w:left="360" w:hanging="220"/>
      </w:pPr>
      <w:r>
        <w:rPr>
          <w:b/>
          <w:bCs/>
          <w:color w:val="1F4E5F"/>
          <w:sz w:val="21"/>
          <w:szCs w:val="21"/>
        </w:rPr>
        <w:t xml:space="preserve">• </w:t>
      </w:r>
      <w:r>
        <w:rPr>
          <w:b/>
          <w:bCs/>
          <w:sz w:val="21"/>
          <w:szCs w:val="21"/>
        </w:rPr>
        <w:t xml:space="preserve">¿Las diferencias en test son reales?</w:t>
      </w:r>
      <w:r>
        <w:rPr>
          <w:sz w:val="21"/>
          <w:szCs w:val="21"/>
        </w:rPr>
        <w:t xml:space="preserve"> El Run 3 obtuvo más F1 en test (0.952 vs. 0.937), pero el bootstrap pareado (2,000 remuestreos) da un IC 95 % de la diferencia de [-0.004, +0.035]: </w:t>
      </w:r>
      <w:r>
        <w:rPr>
          <w:b/>
          <w:bCs/>
          <w:sz w:val="21"/>
          <w:szCs w:val="21"/>
        </w:rPr>
        <w:t xml:space="preserve">no es distinguible</w:t>
      </w:r>
      <w:r>
        <w:rPr>
          <w:sz w:val="21"/>
          <w:szCs w:val="21"/>
        </w:rPr>
        <w:t xml:space="preserve"> con 302 imágenes. Los IC individuales se solapan ([0.907, 0.963] vs. [0.927, 0.975]).</w:t>
      </w:r>
    </w:p>
    <w:p>
      <w:pPr>
        <w:pStyle w:val="Heading1"/>
        <w:keepNext/>
        <w:spacing w:after="60" w:before="200"/>
      </w:pPr>
      <w:r>
        <w:rPr>
          <w:b/>
          <w:bCs/>
          <w:color w:val="1F4E5F"/>
          <w:sz w:val="26"/>
          <w:szCs w:val="26"/>
        </w:rPr>
        <w:t xml:space="preserve">7. Mejor modelo</w:t>
      </w:r>
    </w:p>
    <w:p>
      <w:pPr>
        <w:spacing w:after="100" w:line="259" w:lineRule="auto"/>
      </w:pPr>
      <w:r>
        <w:rPr>
          <w:sz w:val="21"/>
          <w:szCs w:val="21"/>
        </w:rPr>
        <w:t xml:space="preserve">Se registró la </w:t>
      </w:r>
      <w:r>
        <w:rPr>
          <w:b/>
          <w:bCs/>
          <w:sz w:val="21"/>
          <w:szCs w:val="21"/>
        </w:rPr>
        <w:t xml:space="preserve">Variante A</w:t>
      </w:r>
      <w:r>
        <w:rPr>
          <w:sz w:val="21"/>
          <w:szCs w:val="21"/>
        </w:rPr>
        <w:t xml:space="preserve"> como </w:t>
      </w:r>
      <w:r>
        <w:rPr>
          <w:b/>
          <w:bCs/>
          <w:sz w:val="21"/>
          <w:szCs w:val="21"/>
        </w:rPr>
        <w:t xml:space="preserve">aixray_pneumonia_classifier versión 1</w:t>
      </w:r>
      <w:r>
        <w:rPr>
          <w:sz w:val="21"/>
          <w:szCs w:val="21"/>
        </w:rPr>
        <w:t xml:space="preserve">, promovida a </w:t>
      </w:r>
      <w:r>
        <w:rPr>
          <w:b/>
          <w:bCs/>
          <w:sz w:val="21"/>
          <w:szCs w:val="21"/>
        </w:rPr>
        <w:t xml:space="preserve">Staging</w:t>
      </w:r>
      <w:r>
        <w:rPr>
          <w:sz w:val="21"/>
          <w:szCs w:val="21"/>
        </w:rPr>
        <w:t xml:space="preserve"> y con el alias </w:t>
      </w:r>
      <w:r>
        <w:rPr>
          <w:b/>
          <w:bCs/>
          <w:sz w:val="21"/>
          <w:szCs w:val="21"/>
        </w:rPr>
        <w:t xml:space="preserve">staging</w:t>
      </w:r>
      <w:r>
        <w:rPr>
          <w:sz w:val="21"/>
          <w:szCs w:val="21"/>
        </w:rPr>
        <w:t xml:space="preserve"> (los stages están deprecados en MLflow 3, y Unity Catalog solo admite aliases). Criterio fijado antes de mirar el test: mayor F1 de validación (desempate por AUC). Fue además la de mayor AUC (0.991) y mayor sensibilidad (0.974) en validación. No se cambió la elección al ver el test: hacerlo sería ajustar el modelo al test y anularía su valor como estimación honesta. Matiz: la Variante A acumula 20 épocas (10 + 10) frente a 10 del Run 3, así que parte de su ventaja puede venir del cómputo extra.</w:t>
      </w:r>
    </w:p>
    <w:p>
      <w:pPr>
        <w:pStyle w:val="Heading1"/>
        <w:keepNext/>
        <w:spacing w:after="60" w:before="200"/>
      </w:pPr>
      <w:r>
        <w:rPr>
          <w:b/>
          <w:bCs/>
          <w:color w:val="1F4E5F"/>
          <w:sz w:val="26"/>
          <w:szCs w:val="26"/>
        </w:rPr>
        <w:t xml:space="preserve">8. Arquitectura de producción</w:t>
      </w:r>
    </w:p>
    <w:p>
      <w:pPr>
        <w:spacing w:after="40" w:line="259" w:lineRule="auto"/>
      </w:pPr>
      <w:r>
        <w:rPr>
          <w:sz w:val="21"/>
          <w:szCs w:val="21"/>
        </w:rPr>
        <w:t xml:space="preserve">API REST con </w:t>
      </w:r>
      <w:r>
        <w:rPr>
          <w:b/>
          <w:bCs/>
          <w:sz w:val="21"/>
          <w:szCs w:val="21"/>
        </w:rPr>
        <w:t xml:space="preserve">FastAPI</w:t>
      </w:r>
      <w:r>
        <w:rPr>
          <w:sz w:val="21"/>
          <w:szCs w:val="21"/>
        </w:rPr>
        <w:t xml:space="preserve"> servida con uvicorn, sin frontend: GET /health, POST /predict (JPEG/PNG → predicción, probabilidad, umbral, versión y aviso médico) y /docs (Swagger). El modelo se carga una sola vez al iniciar, y el preprocesamiento es </w:t>
      </w:r>
      <w:r>
        <w:rPr>
          <w:b/>
          <w:bCs/>
          <w:sz w:val="21"/>
          <w:szCs w:val="21"/>
        </w:rPr>
        <w:t xml:space="preserve">la misma función</w:t>
      </w:r>
      <w:r>
        <w:rPr>
          <w:sz w:val="21"/>
          <w:szCs w:val="21"/>
        </w:rPr>
        <w:t xml:space="preserve"> que en el entrenamiento (diferencia verificada = 0). Errores con códigos correctos: 400 (imagen inválida), 413 (&gt; 10 MB), 415 (tipo no soportado), 503 (sin modelo), 500 (fallo interno). </w:t>
      </w:r>
      <w:r>
        <w:rPr>
          <w:b/>
          <w:bCs/>
          <w:sz w:val="21"/>
          <w:szCs w:val="21"/>
        </w:rPr>
        <w:t xml:space="preserve">10 pruebas automáticas (pytest), 10 aprobadas.</w:t>
      </w:r>
      <w:r>
        <w:rPr>
          <w:sz w:val="21"/>
          <w:szCs w:val="21"/>
        </w:rPr>
        <w:t xml:space="preserve"> Para producción real faltaría:</w:t>
      </w:r>
    </w:p>
    <w:p>
      <w:pPr>
        <w:spacing w:after="40" w:line="252" w:lineRule="auto"/>
        <w:ind w:left="360" w:hanging="220"/>
      </w:pPr>
      <w:r>
        <w:rPr>
          <w:b/>
          <w:bCs/>
          <w:color w:val="1F4E5F"/>
          <w:sz w:val="21"/>
          <w:szCs w:val="21"/>
        </w:rPr>
        <w:t xml:space="preserve">• </w:t>
      </w:r>
      <w:r>
        <w:rPr>
          <w:sz w:val="21"/>
          <w:szCs w:val="21"/>
        </w:rPr>
        <w:t xml:space="preserve">Contenedor (Docker), autenticación, registro auditable de cada predicción y monitoreo de deriva de datos.</w:t>
      </w:r>
    </w:p>
    <w:p>
      <w:pPr>
        <w:spacing w:after="40" w:line="252" w:lineRule="auto"/>
        <w:ind w:left="360" w:hanging="220"/>
      </w:pPr>
      <w:r>
        <w:rPr>
          <w:b/>
          <w:bCs/>
          <w:color w:val="1F4E5F"/>
          <w:sz w:val="21"/>
          <w:szCs w:val="21"/>
        </w:rPr>
        <w:t xml:space="preserve">• </w:t>
      </w:r>
      <w:r>
        <w:rPr>
          <w:sz w:val="21"/>
          <w:szCs w:val="21"/>
        </w:rPr>
        <w:t xml:space="preserve">Integración con PACS/DICOM, validación externa en otros hospitales y equipos, y aprobación regulatoria como software de dispositivo médico.</w:t>
      </w:r>
    </w:p>
    <w:p>
      <w:pPr>
        <w:pStyle w:val="Heading1"/>
        <w:keepNext/>
        <w:spacing w:after="60" w:before="200"/>
      </w:pPr>
      <w:r>
        <w:rPr>
          <w:b/>
          <w:bCs/>
          <w:color w:val="1F4E5F"/>
          <w:sz w:val="26"/>
          <w:szCs w:val="26"/>
        </w:rPr>
        <w:t xml:space="preserve">9. Limitaciones</w:t>
      </w:r>
    </w:p>
    <w:p>
      <w:pPr>
        <w:spacing w:after="40" w:line="252" w:lineRule="auto"/>
        <w:ind w:left="360" w:hanging="220"/>
      </w:pPr>
      <w:r>
        <w:rPr>
          <w:b/>
          <w:bCs/>
          <w:color w:val="1F4E5F"/>
          <w:sz w:val="21"/>
          <w:szCs w:val="21"/>
        </w:rPr>
        <w:t xml:space="preserve">• </w:t>
      </w:r>
      <w:r>
        <w:rPr>
          <w:b/>
          <w:bCs/>
          <w:sz w:val="21"/>
          <w:szCs w:val="21"/>
        </w:rPr>
        <w:t xml:space="preserve">No es una herramienta de diagnóstico médico.</w:t>
      </w:r>
      <w:r>
        <w:rPr>
          <w:sz w:val="21"/>
          <w:szCs w:val="21"/>
        </w:rPr>
        <w:t xml:space="preserve"> Es un proyecto académico sin validación clínica.</w:t>
      </w:r>
    </w:p>
    <w:p>
      <w:pPr>
        <w:spacing w:after="40" w:line="252" w:lineRule="auto"/>
        <w:ind w:left="360" w:hanging="220"/>
      </w:pPr>
      <w:r>
        <w:rPr>
          <w:b/>
          <w:bCs/>
          <w:color w:val="1F4E5F"/>
          <w:sz w:val="21"/>
          <w:szCs w:val="21"/>
        </w:rPr>
        <w:t xml:space="preserve">• </w:t>
      </w:r>
      <w:r>
        <w:rPr>
          <w:b/>
          <w:bCs/>
          <w:sz w:val="21"/>
          <w:szCs w:val="21"/>
        </w:rPr>
        <w:t xml:space="preserve">Un solo centro y población pediátrica</w:t>
      </w:r>
      <w:r>
        <w:rPr>
          <w:sz w:val="21"/>
          <w:szCs w:val="21"/>
        </w:rPr>
        <w:t xml:space="preserve"> de 1 a 5 años: puede no generalizar a otros equipos, protocolos o edades.</w:t>
      </w:r>
    </w:p>
    <w:p>
      <w:pPr>
        <w:spacing w:after="40" w:line="252" w:lineRule="auto"/>
        <w:ind w:left="360" w:hanging="220"/>
      </w:pPr>
      <w:r>
        <w:rPr>
          <w:b/>
          <w:bCs/>
          <w:color w:val="1F4E5F"/>
          <w:sz w:val="21"/>
          <w:szCs w:val="21"/>
        </w:rPr>
        <w:t xml:space="preserve">• </w:t>
      </w:r>
      <w:r>
        <w:rPr>
          <w:b/>
          <w:bCs/>
          <w:sz w:val="21"/>
          <w:szCs w:val="21"/>
        </w:rPr>
        <w:t xml:space="preserve">Prevalencia artificial:</w:t>
      </w:r>
      <w:r>
        <w:rPr>
          <w:sz w:val="21"/>
          <w:szCs w:val="21"/>
        </w:rPr>
        <w:t xml:space="preserve"> el subconjunto es 50/50. Con la prevalencia real de un servicio, la precisión (proporción de alertas correctas) sería distinta.</w:t>
      </w:r>
    </w:p>
    <w:p>
      <w:pPr>
        <w:spacing w:after="40" w:line="252" w:lineRule="auto"/>
        <w:ind w:left="360" w:hanging="220"/>
      </w:pPr>
      <w:r>
        <w:rPr>
          <w:b/>
          <w:bCs/>
          <w:color w:val="1F4E5F"/>
          <w:sz w:val="21"/>
          <w:szCs w:val="21"/>
        </w:rPr>
        <w:t xml:space="preserve">• </w:t>
      </w:r>
      <w:r>
        <w:rPr>
          <w:b/>
          <w:bCs/>
          <w:sz w:val="21"/>
          <w:szCs w:val="21"/>
        </w:rPr>
        <w:t xml:space="preserve">Test pequeño (302 imágenes):</w:t>
      </w:r>
      <w:r>
        <w:rPr>
          <w:sz w:val="21"/>
          <w:szCs w:val="21"/>
        </w:rPr>
        <w:t xml:space="preserve"> las métricas tienen intervalos de ±2-3 puntos (ver bootstrap).</w:t>
      </w:r>
    </w:p>
    <w:p>
      <w:pPr>
        <w:spacing w:after="40" w:line="252" w:lineRule="auto"/>
        <w:ind w:left="360" w:hanging="220"/>
      </w:pPr>
      <w:r>
        <w:rPr>
          <w:b/>
          <w:bCs/>
          <w:color w:val="1F4E5F"/>
          <w:sz w:val="21"/>
          <w:szCs w:val="21"/>
        </w:rPr>
        <w:t xml:space="preserve">• </w:t>
      </w:r>
      <w:r>
        <w:rPr>
          <w:b/>
          <w:bCs/>
          <w:sz w:val="21"/>
          <w:szCs w:val="21"/>
        </w:rPr>
        <w:t xml:space="preserve">Fuga residual posible:</w:t>
      </w:r>
      <w:r>
        <w:rPr>
          <w:sz w:val="21"/>
          <w:szCs w:val="21"/>
        </w:rPr>
        <w:t xml:space="preserve"> el agrupamiento de NORMAL por prefijo identifica estudios, no garantiza que dos prefijos sean pacientes distintos.</w:t>
      </w:r>
    </w:p>
    <w:p>
      <w:pPr>
        <w:spacing w:after="40" w:line="252" w:lineRule="auto"/>
        <w:ind w:left="360" w:hanging="220"/>
      </w:pPr>
      <w:r>
        <w:rPr>
          <w:b/>
          <w:bCs/>
          <w:color w:val="1F4E5F"/>
          <w:sz w:val="21"/>
          <w:szCs w:val="21"/>
        </w:rPr>
        <w:t xml:space="preserve">• </w:t>
      </w:r>
      <w:r>
        <w:rPr>
          <w:b/>
          <w:bCs/>
          <w:sz w:val="21"/>
          <w:szCs w:val="21"/>
        </w:rPr>
        <w:t xml:space="preserve">Entrenamiento no convergido:</w:t>
      </w:r>
      <w:r>
        <w:rPr>
          <w:sz w:val="21"/>
          <w:szCs w:val="21"/>
        </w:rPr>
        <w:t xml:space="preserve"> todos los runs tuvieron su mejor época en la 10, la última; con más épocas probablemente mejorarían.</w:t>
      </w:r>
    </w:p>
    <w:p>
      <w:pPr>
        <w:spacing w:after="40" w:line="252" w:lineRule="auto"/>
        <w:ind w:left="360" w:hanging="220"/>
      </w:pPr>
      <w:r>
        <w:rPr>
          <w:b/>
          <w:bCs/>
          <w:color w:val="1F4E5F"/>
          <w:sz w:val="21"/>
          <w:szCs w:val="21"/>
        </w:rPr>
        <w:t xml:space="preserve">• </w:t>
      </w:r>
      <w:r>
        <w:rPr>
          <w:b/>
          <w:bCs/>
          <w:sz w:val="21"/>
          <w:szCs w:val="21"/>
        </w:rPr>
        <w:t xml:space="preserve">Errores no uniformes:</w:t>
      </w:r>
      <w:r>
        <w:rPr>
          <w:sz w:val="21"/>
          <w:szCs w:val="21"/>
        </w:rPr>
        <w:t xml:space="preserve"> 7 de los 9 falsos negativos son neumonías virales, más sutiles en la imagen. No se revisó qué regiones mira el modelo (p. ej., con Grad-CAM), así que no se descarta que use atajos como marcadores o textos de la placa.</w:t>
      </w:r>
    </w:p>
    <w:p>
      <w:pPr>
        <w:pStyle w:val="Heading1"/>
        <w:keepNext/>
        <w:spacing w:after="60" w:before="200"/>
      </w:pPr>
      <w:r>
        <w:rPr>
          <w:b/>
          <w:bCs/>
          <w:color w:val="1F4E5F"/>
          <w:sz w:val="26"/>
          <w:szCs w:val="26"/>
        </w:rPr>
        <w:t xml:space="preserve">10. Impacto potencial</w:t>
      </w:r>
    </w:p>
    <w:p>
      <w:pPr>
        <w:spacing w:after="100" w:line="259" w:lineRule="auto"/>
      </w:pPr>
      <w:r>
        <w:rPr>
          <w:sz w:val="21"/>
          <w:szCs w:val="21"/>
        </w:rPr>
        <w:t xml:space="preserve">Con el umbral clínico, en el test el modelo identificó </w:t>
      </w:r>
      <w:r>
        <w:rPr>
          <w:b/>
          <w:bCs/>
          <w:sz w:val="21"/>
          <w:szCs w:val="21"/>
        </w:rPr>
        <w:t xml:space="preserve">147 de 156 neumonías (94.2 %)</w:t>
      </w:r>
      <w:r>
        <w:rPr>
          <w:sz w:val="21"/>
          <w:szCs w:val="21"/>
        </w:rPr>
        <w:t xml:space="preserve"> y generó </w:t>
      </w:r>
      <w:r>
        <w:rPr>
          <w:b/>
          <w:bCs/>
          <w:sz w:val="21"/>
          <w:szCs w:val="21"/>
        </w:rPr>
        <w:t xml:space="preserve">10 falsas alarmas entre 146 normales (6.8 %)</w:t>
      </w:r>
      <w:r>
        <w:rPr>
          <w:sz w:val="21"/>
          <w:szCs w:val="21"/>
        </w:rPr>
        <w:t xml:space="preserve">. Usado como </w:t>
      </w:r>
      <w:r>
        <w:rPr>
          <w:b/>
          <w:bCs/>
          <w:sz w:val="21"/>
          <w:szCs w:val="21"/>
        </w:rPr>
        <w:t xml:space="preserve">priorizador</w:t>
      </w:r>
      <w:r>
        <w:rPr>
          <w:sz w:val="21"/>
          <w:szCs w:val="21"/>
        </w:rPr>
        <w:t xml:space="preserve"> de la cola de lectura, y no como diagnóstico, podría hacer que la mayoría de las neumonías se lean primero, sin dejar de leer el resto. El beneficio real (minutos ganados hasta el informe, casos detectados antes) solo puede medirse con una </w:t>
      </w:r>
      <w:r>
        <w:rPr>
          <w:b/>
          <w:bCs/>
          <w:sz w:val="21"/>
          <w:szCs w:val="21"/>
        </w:rPr>
        <w:t xml:space="preserve">validación clínica prospectiva</w:t>
      </w:r>
      <w:r>
        <w:rPr>
          <w:sz w:val="21"/>
          <w:szCs w:val="21"/>
        </w:rPr>
        <w:t xml:space="preserve">, fuera del alcance de este proyecto. Siguientes pasos: validación externa, interpretabilidad (Grad-CAM) y entrenamiento con el dataset completo usando class_weight.</w:t>
      </w:r>
    </w:p>
    <w:p>
      <w:pPr>
        <w:pBdr>
          <w:top w:val="single" w:color="CCCCCC" w:sz="4"/>
        </w:pBdr>
        <w:spacing w:before="160" w:after="0"/>
      </w:pPr>
    </w:p>
    <w:p>
      <w:pPr>
        <w:spacing w:before="40" w:after="20"/>
      </w:pPr>
      <w:r>
        <w:rPr>
          <w:b/>
          <w:bCs/>
          <w:sz w:val="20"/>
          <w:szCs w:val="20"/>
        </w:rPr>
        <w:t xml:space="preserve">Cita del dataset</w:t>
      </w:r>
    </w:p>
    <w:p>
      <w:pPr>
        <w:spacing w:after="40"/>
      </w:pPr>
      <w:r>
        <w:rPr>
          <w:color w:val="666666"/>
          <w:sz w:val="18"/>
          <w:szCs w:val="18"/>
        </w:rPr>
        <w:t xml:space="preserve">Kermany D, Goldbaum M, Cai W, et al. Identifying Medical Diagnoses and Treatable Diseases by Image-Based Deep Learning. Cell. 2018;172(5):1122-1131. doi:10.1016/j.cell.2018.02.010</w:t>
      </w:r>
    </w:p>
    <w:p>
      <w:r>
        <w:rPr>
          <w:color w:val="666666"/>
          <w:sz w:val="18"/>
          <w:szCs w:val="18"/>
        </w:rPr>
        <w:t xml:space="preserve">Kermany, Daniel; Zhang, Kang; Goldbaum, Michael (2018), "Labeled Optical Coherence Tomography (OCT) and Chest X-Ray Images for Classification", Mendeley Data, v2. http://dx.doi.org/10.17632/rscbjbr9sj.2</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Img1" Type="http://schemas.openxmlformats.org/officeDocument/2006/relationships/image" Target="media/comparacion_runs_f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César Libardo España Salguero</dc:creator>
  <cp:lastModifiedBy>Un-named</cp:lastModifiedBy>
  <cp:revision>1</cp:revision>
  <dcterms:created xsi:type="dcterms:W3CDTF">2026-08-16T23:52:39.181Z</dcterms:created>
  <dcterms:modified xsi:type="dcterms:W3CDTF">2026-08-16T23:52:39.181Z</dcterms:modified>
</cp:coreProperties>
</file>

<file path=docProps/custom.xml><?xml version="1.0" encoding="utf-8"?>
<Properties xmlns="http://schemas.openxmlformats.org/officeDocument/2006/custom-properties" xmlns:vt="http://schemas.openxmlformats.org/officeDocument/2006/docPropsVTypes"/>
</file>