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1B857AD" w:rsidR="003C017B" w:rsidRDefault="002C0B9D">
      <w:pPr>
        <w:pStyle w:val="Ttulo1"/>
        <w:jc w:val="center"/>
        <w:rPr>
          <w:b/>
        </w:rPr>
      </w:pPr>
      <w:r>
        <w:rPr>
          <w:b/>
        </w:rPr>
        <w:t>CÓDIGO DE POLÍTICAS DE GESTIÓN DE TRÁFICO Y ADMINISTRACIÓN DE RED PARA EL SERVICIO DE ACCESO A INTERNET FIJO DE IPTVTEL COMUNICACIONES, S. DE R.L. DE C.V.</w:t>
      </w:r>
    </w:p>
    <w:p w14:paraId="00000002" w14:textId="77777777" w:rsidR="003C017B" w:rsidRDefault="003C017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3" w14:textId="47971555" w:rsidR="003C017B" w:rsidRDefault="002C0B9D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fundamento en el artículo 12 del “Acuerdo mediante el cual el Pleno del Instituto Federal de Telecomunicaciones expide los Lineamientos para la gestión de tráfico y administración de red a que deberán sujetarse los concesionarios y autorizados que presten el servicio de acceso a Internet”, en lo sucesivo, “El acuerdo”; IPTVTEL COMUNICACIONES, S. DE R.L. DE C.V. (en lo sucesivo “</w:t>
      </w:r>
      <w:r w:rsidR="00EA0726"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z w:val="24"/>
          <w:szCs w:val="24"/>
        </w:rPr>
        <w:t>oveedor”) pone a disposición de sus usuarios el Código de Política de Gestión de Tráfico y Administración de Red (en adelante “Código) por el cual da a conocer los principios bajo los cuales implementa la gestión de tráfico y administración de red que presta a sus usuarios:</w:t>
      </w:r>
    </w:p>
    <w:p w14:paraId="00000004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1.- DERECHOS DE LOS USUARIOS FINALES DEL SERVICIO DE ACCESO A INTERNET</w:t>
      </w:r>
    </w:p>
    <w:p w14:paraId="00000005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servicio de acceso de internet se sujetará a los siguientes principios señalados en el artículo 145 de la Ley Federal de Telecomunicaciones y Radiodifusión:</w:t>
      </w:r>
    </w:p>
    <w:p w14:paraId="00000006" w14:textId="77777777" w:rsidR="003C017B" w:rsidRDefault="002C0B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Libre elección</w:t>
      </w:r>
      <w:r>
        <w:rPr>
          <w:rFonts w:ascii="Arial" w:eastAsia="Arial" w:hAnsi="Arial" w:cs="Arial"/>
          <w:color w:val="000000"/>
          <w:sz w:val="24"/>
          <w:szCs w:val="24"/>
        </w:rPr>
        <w:t>. Los usuarios de los servicios de internet prestados por el proveedor pueden acceder a cualquier contenido, aplicación o servicio ofrecido por los concesionarios o por los autorizados a comercializar, dentro del marco legal aplicable, sin limitar, degradar, restringir o discriminar el acceso a los mismos.</w:t>
      </w:r>
    </w:p>
    <w:p w14:paraId="00000007" w14:textId="77777777" w:rsidR="003C017B" w:rsidRDefault="003C0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8" w14:textId="77777777" w:rsidR="003C017B" w:rsidRDefault="002C0B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El proveedor no limita el derecho de los usuarios del servicio de acceso a Internet a incorporar o utilizar cualquier clase de instrumentos, dispositivos o aparatos que se conecten a su red, siempre y cuando éstos se encuentren homologados, tomando en cuenta que no todos los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dispositivos existentes en el mercado cuentan con las caracterizarías técnicas para poder ser conectados a su red. </w:t>
      </w:r>
    </w:p>
    <w:p w14:paraId="00000009" w14:textId="77777777" w:rsidR="003C017B" w:rsidRDefault="003C0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77777777" w:rsidR="003C017B" w:rsidRDefault="002C0B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II.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No discriminación.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proveedor se abstiene de obstruir, interferir, inspeccionar, filtrar o discriminar contenidos, aplicaciones o servicio;</w:t>
      </w:r>
    </w:p>
    <w:p w14:paraId="0000000B" w14:textId="77777777" w:rsidR="003C017B" w:rsidRDefault="003C0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C" w14:textId="77777777" w:rsidR="003C017B" w:rsidRDefault="002C0B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III.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Privacidad</w:t>
      </w:r>
      <w:r>
        <w:rPr>
          <w:rFonts w:ascii="Arial" w:eastAsia="Arial" w:hAnsi="Arial" w:cs="Arial"/>
          <w:color w:val="000000"/>
          <w:sz w:val="24"/>
          <w:szCs w:val="24"/>
        </w:rPr>
        <w:t>. El proveedor preserva la privacidad de los usuarios y la seguridad de la red;</w:t>
      </w:r>
    </w:p>
    <w:p w14:paraId="0000000D" w14:textId="77777777" w:rsidR="003C017B" w:rsidRDefault="003C0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E" w14:textId="77777777" w:rsidR="003C017B" w:rsidRDefault="002C0B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IV.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Transparencia e información.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Las características del servicio ofrecido, incluyendo las políticas de gestión de tráfico y administración de red autorizada por el Instituto, velocidad, calidad, la naturaleza y garantía del servicio, se pueden consultar en la página de internet y en el Código de prácticas comerciales del proveedor</w:t>
      </w:r>
    </w:p>
    <w:p w14:paraId="0000000F" w14:textId="77777777" w:rsidR="003C017B" w:rsidRDefault="003C0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0" w14:textId="77777777" w:rsidR="003C017B" w:rsidRDefault="002C0B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Gestión de tráfico.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proveedor podrá tomar las medidas o acciones necesarias para la gestión de tráfico y administración de red conforme a las políticas autorizadas por el Instituto, a fin de garantizar la calidad o la velocidad de servicio contratada por el usuario, siempre que ello no constituya una práctica contraria a la sana competencia y libre concurrencia;</w:t>
      </w:r>
    </w:p>
    <w:p w14:paraId="00000011" w14:textId="77777777" w:rsidR="003C017B" w:rsidRDefault="003C0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2" w14:textId="77777777" w:rsidR="003C017B" w:rsidRDefault="002C0B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Calidad</w:t>
      </w:r>
      <w:r>
        <w:rPr>
          <w:rFonts w:ascii="Arial" w:eastAsia="Arial" w:hAnsi="Arial" w:cs="Arial"/>
          <w:color w:val="000000"/>
          <w:sz w:val="24"/>
          <w:szCs w:val="24"/>
        </w:rPr>
        <w:t>. El proveedor debe preservar los niveles mínimos de calidad que al efecto se establezcan en los lineamientos respectivos, y</w:t>
      </w:r>
    </w:p>
    <w:p w14:paraId="00000013" w14:textId="77777777" w:rsidR="003C017B" w:rsidRDefault="003C01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9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MEDIDAS DE GESTIÓN DE TRÁFICO</w:t>
      </w:r>
    </w:p>
    <w:p w14:paraId="00000015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2.1. Interconexión entre redes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Peering</w:t>
      </w:r>
      <w:proofErr w:type="spellEnd"/>
      <w:r>
        <w:rPr>
          <w:rFonts w:ascii="Arial" w:eastAsia="Arial" w:hAnsi="Arial" w:cs="Arial"/>
          <w:i/>
          <w:sz w:val="24"/>
          <w:szCs w:val="24"/>
        </w:rPr>
        <w:t>)</w:t>
      </w:r>
    </w:p>
    <w:p w14:paraId="00000016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La conexión directa entre redes o “</w:t>
      </w:r>
      <w:proofErr w:type="spellStart"/>
      <w:r>
        <w:rPr>
          <w:rFonts w:ascii="Arial" w:eastAsia="Arial" w:hAnsi="Arial" w:cs="Arial"/>
          <w:sz w:val="24"/>
          <w:szCs w:val="24"/>
        </w:rPr>
        <w:t>Peering</w:t>
      </w:r>
      <w:proofErr w:type="spellEnd"/>
      <w:r>
        <w:rPr>
          <w:rFonts w:ascii="Arial" w:eastAsia="Arial" w:hAnsi="Arial" w:cs="Arial"/>
          <w:sz w:val="24"/>
          <w:szCs w:val="24"/>
        </w:rPr>
        <w:t>” consiste en conectar redes independientes con el fin de intercambiar información de manera directa entre los usuarios o servicios de ambas redes, con el fin de evitar la necesidad de utilizar a un tercero para el intercambio de tráfico a través de una red de tránsito (internet).</w:t>
      </w:r>
    </w:p>
    <w:p w14:paraId="00000017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beneficios son:</w:t>
      </w:r>
    </w:p>
    <w:p w14:paraId="00000018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Reducción de latencia en la entrega de contenido hacia los usuarios.</w:t>
      </w:r>
    </w:p>
    <w:p w14:paraId="00000019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Reducción de costos operativos en enlaces hacia red de tránsito.</w:t>
      </w:r>
    </w:p>
    <w:p w14:paraId="0000001A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Incremento en tiempos de respuesta (latencia) hacia los usuarios.</w:t>
      </w:r>
    </w:p>
    <w:p w14:paraId="0000001B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Incremento de costos operativos por concepto de utilización de enlaces hacia redes de tránsito</w:t>
      </w:r>
    </w:p>
    <w:p w14:paraId="0000001C" w14:textId="77777777" w:rsidR="003C017B" w:rsidRDefault="002C0B9D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caso de que esta medida se elimine ocurrirá lo siguiente:</w:t>
      </w:r>
    </w:p>
    <w:p w14:paraId="0000001D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Incremento en tiempos de respuesta (latencia) hacia los usuarios.</w:t>
      </w:r>
    </w:p>
    <w:p w14:paraId="0000001E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Incremento de costos operativos por concepto de utilización de enlaces hacia redes de tránsito</w:t>
      </w:r>
    </w:p>
    <w:p w14:paraId="0000001F" w14:textId="77777777" w:rsidR="003C017B" w:rsidRDefault="003C017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20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2.2. Administración de Direcciones IP</w:t>
      </w:r>
    </w:p>
    <w:p w14:paraId="00000021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dirección IP es una dirección única que identifica a un dispositivo en internet o en una red local, con lo cual permite el intercambio de información en internet.</w:t>
      </w:r>
    </w:p>
    <w:p w14:paraId="00000022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organismos internacionales asignan a los Proveedores de Servicios de Internet (ISP) direcciones </w:t>
      </w:r>
      <w:proofErr w:type="spellStart"/>
      <w:r>
        <w:rPr>
          <w:rFonts w:ascii="Arial" w:eastAsia="Arial" w:hAnsi="Arial" w:cs="Arial"/>
          <w:sz w:val="24"/>
          <w:szCs w:val="24"/>
        </w:rPr>
        <w:t>IPs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públicas para permitir que sus usuarios se comuniquen por internet. Considerando que las direcciones IP son un recurso escaso y limitado, se vuelve necesaria su administración para optimizar su uso. Es por eso </w:t>
      </w:r>
      <w:proofErr w:type="gramStart"/>
      <w:r>
        <w:rPr>
          <w:rFonts w:ascii="Arial" w:eastAsia="Arial" w:hAnsi="Arial" w:cs="Arial"/>
          <w:sz w:val="24"/>
          <w:szCs w:val="24"/>
        </w:rPr>
        <w:t>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 proveedor utiliza técnicas que permiten a múltiples dispositivos en una red local ser mapeados a una sola dirección IP Pública.</w:t>
      </w:r>
    </w:p>
    <w:p w14:paraId="00000023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beneficios son:</w:t>
      </w:r>
    </w:p>
    <w:p w14:paraId="00000024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• Optimización en el uso de un recurso finito como son las direcciones IP públicas.</w:t>
      </w:r>
    </w:p>
    <w:p w14:paraId="00000025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Ocupación innecesaria de direcciones IP públicas.</w:t>
      </w:r>
    </w:p>
    <w:p w14:paraId="00000026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Agotamiento de las direcciones IP públicas.</w:t>
      </w:r>
    </w:p>
    <w:p w14:paraId="00000027" w14:textId="77777777" w:rsidR="003C017B" w:rsidRDefault="002C0B9D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caso de que esta medida se elimine ocurrirá lo siguiente:</w:t>
      </w:r>
    </w:p>
    <w:p w14:paraId="00000028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Ocupación innecesaria de direcciones IP públicas.</w:t>
      </w:r>
    </w:p>
    <w:p w14:paraId="00000029" w14:textId="77777777" w:rsidR="003C017B" w:rsidRDefault="002C0B9D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Agotamiento de las direcciones IP públicas.</w:t>
      </w:r>
    </w:p>
    <w:p w14:paraId="0000002A" w14:textId="77777777" w:rsidR="003C017B" w:rsidRDefault="003C017B">
      <w:pPr>
        <w:spacing w:after="0"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000002B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2.3 Administración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Routers</w:t>
      </w:r>
      <w:proofErr w:type="spellEnd"/>
    </w:p>
    <w:p w14:paraId="0000002C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Los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Router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CCR administrados por segmentos VLAN que permiten la gestión adecuada del tráfico, así como la asignación de prioridades de tráfico, mantienen configuración personalizada en las reglas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queue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simple y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queue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tree</w:t>
      </w:r>
      <w:proofErr w:type="spellEnd"/>
      <w:r>
        <w:rPr>
          <w:rFonts w:ascii="Arial" w:eastAsia="Arial" w:hAnsi="Arial" w:cs="Arial"/>
          <w:i/>
          <w:sz w:val="24"/>
          <w:szCs w:val="24"/>
        </w:rPr>
        <w:t>, de esa forma garantizar la asignación de ancho de banda a cada usuario y prioridad en la calidad de acuerdo con cada una de las necesidades.</w:t>
      </w:r>
    </w:p>
    <w:p w14:paraId="0000002D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De esta forma los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Router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CCR de servicio mantienen la comunicación activa con el sistema administrativo de suscriptores para la perfecta administración automatizada, y garantizar toda la gestión correcta evitando actividades manuales que pongan el peligro el flujo adecuado de una administración correctamente centralizada.</w:t>
      </w:r>
    </w:p>
    <w:p w14:paraId="0000002E" w14:textId="77777777" w:rsidR="003C017B" w:rsidRDefault="003C017B">
      <w:pPr>
        <w:spacing w:line="36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0000002F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RECOMENDACIONES A USUARIOS FINALES</w:t>
      </w:r>
    </w:p>
    <w:p w14:paraId="00000030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recomendaciones para que los usuarios finales minimicen los riesgos a su privacidad y la de sus comunicaciones privadas son las siguientes:</w:t>
      </w:r>
    </w:p>
    <w:p w14:paraId="00000031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Al conectarse a internet 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recomienda ocupar equipos y software que estén actualizados en sus últimas versiones e instalar </w:t>
      </w:r>
      <w:r>
        <w:rPr>
          <w:rFonts w:ascii="Arial" w:eastAsia="Arial" w:hAnsi="Arial" w:cs="Arial"/>
          <w:sz w:val="24"/>
          <w:szCs w:val="24"/>
        </w:rPr>
        <w:t>parches de seguridad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 sistemas operativos y aplicaciones.</w:t>
      </w:r>
    </w:p>
    <w:p w14:paraId="00000032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Utilizar contraseñas seguras, incluyendo mayúsculas, minúsculas, números y caracteres especiales.</w:t>
      </w:r>
    </w:p>
    <w:p w14:paraId="00000033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Evitar ingresar a sitios desconocidos, que se vean sospechosas o que no sean confiables.</w:t>
      </w:r>
    </w:p>
    <w:p w14:paraId="00000034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Minimizar el registro con datos personales en páginas web y aplicaciones que realmente utilice y le sean útiles. </w:t>
      </w:r>
    </w:p>
    <w:p w14:paraId="00000035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Verificar que las páginas visitadas tengan el candado de seguridad tal como HTTPS://, especialmente si se envía información sensible como tarjetas de crédito.</w:t>
      </w:r>
    </w:p>
    <w:p w14:paraId="00000036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Utilizar un antivirus actualizado en el dispositivo terminal que se utiliza para acceder a internet.</w:t>
      </w:r>
    </w:p>
    <w:p w14:paraId="00000037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Cambiar las contraseñas de sus servicios en línea con frecuencia.</w:t>
      </w:r>
    </w:p>
    <w:p w14:paraId="00000038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Evitar abrir y/o responder mensajes o correos de origen desconocido, sobre todo los que requieran sus datos personales.</w:t>
      </w:r>
    </w:p>
    <w:p w14:paraId="00000039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Utilizar programas originales y de fuentes confiables.</w:t>
      </w:r>
    </w:p>
    <w:p w14:paraId="0000003A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hacer clic en enlaces contenidos en correos electrónicos no solicitados o que provengan de fuentes desconocidas.</w:t>
      </w:r>
    </w:p>
    <w:p w14:paraId="0000003B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No hacer caso de mensajes cuyo contenido sea atractivo, de urgencia o exagerado, por ejemplo, entrega de premios de concursos en los que no participó, avisos de bancos acerca de adeudos que no existen, etc.</w:t>
      </w:r>
    </w:p>
    <w:p w14:paraId="0000003C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Proteja y no revele las contraseñas que utiliza en plataformas digitales.</w:t>
      </w:r>
    </w:p>
    <w:p w14:paraId="0000003D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Utilice herramientas que permitan un borrado seguro de información en los equipos de cómputo y procesamiento de datos que sean desechados por usted.</w:t>
      </w:r>
    </w:p>
    <w:p w14:paraId="0000003E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De ser necesario, comunicarse directamente con la institución de la que procedan los mensajes o correos electrónicos, a través de la información de contacto publicada en sitios oficiales.</w:t>
      </w:r>
    </w:p>
    <w:p w14:paraId="0000003F" w14:textId="77777777" w:rsidR="003C017B" w:rsidRDefault="002C0B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 Se recomienda </w:t>
      </w:r>
      <w:r>
        <w:rPr>
          <w:rFonts w:ascii="Arial" w:eastAsia="Arial" w:hAnsi="Arial" w:cs="Arial"/>
          <w:sz w:val="24"/>
          <w:szCs w:val="24"/>
        </w:rPr>
        <w:t>instalar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utilizar herramientas de control parental para monitorear y controlar las actividades de los menores de edad en relación con el uso de internet.</w:t>
      </w:r>
    </w:p>
    <w:p w14:paraId="00000040" w14:textId="77777777" w:rsidR="003C017B" w:rsidRDefault="003C01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41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 MARCO LEGAL APLICABLE</w:t>
      </w:r>
    </w:p>
    <w:p w14:paraId="00000042" w14:textId="77777777" w:rsidR="003C017B" w:rsidRDefault="002C0B9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presente Código se apega a lo dispuesto en la Ley Federal de Telecomunicaciones y Radiodifusión, así como en los Lineamientos para la gestión de tráfico y administración de red a que deberán sujetarse los concesionarios y autorizados que presten el servicio de acceso a Internet, publicados en el Diario Oficial de la Federación el 5 de julio de 2021 y expedidos por el Instituto Federal de Telecomunicaciones.</w:t>
      </w:r>
    </w:p>
    <w:p w14:paraId="00000043" w14:textId="77777777" w:rsidR="003C017B" w:rsidRDefault="003C017B">
      <w:pPr>
        <w:spacing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0000044" w14:textId="3E32891B" w:rsidR="003C017B" w:rsidRDefault="002C0B9D">
      <w:pPr>
        <w:spacing w:line="36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Versión 1.0, publicada el 23 de </w:t>
      </w:r>
      <w:r w:rsidR="004407C1">
        <w:rPr>
          <w:rFonts w:ascii="Arial" w:eastAsia="Arial" w:hAnsi="Arial" w:cs="Arial"/>
          <w:sz w:val="24"/>
          <w:szCs w:val="24"/>
        </w:rPr>
        <w:t>junio</w:t>
      </w:r>
      <w:r>
        <w:rPr>
          <w:rFonts w:ascii="Arial" w:eastAsia="Arial" w:hAnsi="Arial" w:cs="Arial"/>
          <w:sz w:val="24"/>
          <w:szCs w:val="24"/>
        </w:rPr>
        <w:t xml:space="preserve"> de 2025</w:t>
      </w:r>
    </w:p>
    <w:sectPr w:rsidR="003C017B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3955D" w14:textId="77777777" w:rsidR="003F01F9" w:rsidRDefault="003F01F9" w:rsidP="002C0B9D">
      <w:pPr>
        <w:spacing w:after="0" w:line="240" w:lineRule="auto"/>
      </w:pPr>
      <w:r>
        <w:separator/>
      </w:r>
    </w:p>
  </w:endnote>
  <w:endnote w:type="continuationSeparator" w:id="0">
    <w:p w14:paraId="5B4AC788" w14:textId="77777777" w:rsidR="003F01F9" w:rsidRDefault="003F01F9" w:rsidP="002C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34ABB" w14:textId="77777777" w:rsidR="003F01F9" w:rsidRDefault="003F01F9" w:rsidP="002C0B9D">
      <w:pPr>
        <w:spacing w:after="0" w:line="240" w:lineRule="auto"/>
      </w:pPr>
      <w:r>
        <w:separator/>
      </w:r>
    </w:p>
  </w:footnote>
  <w:footnote w:type="continuationSeparator" w:id="0">
    <w:p w14:paraId="2FA3EEC3" w14:textId="77777777" w:rsidR="003F01F9" w:rsidRDefault="003F01F9" w:rsidP="002C0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9377E" w14:textId="174C8A73" w:rsidR="002C0B9D" w:rsidRDefault="002C0B9D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355E9182" wp14:editId="14C2E453">
          <wp:extent cx="1508760" cy="1028700"/>
          <wp:effectExtent l="0" t="0" r="0" b="0"/>
          <wp:docPr id="24352189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652" cy="102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203FA"/>
    <w:multiLevelType w:val="multilevel"/>
    <w:tmpl w:val="6EB6B12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50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7B"/>
    <w:rsid w:val="000D737A"/>
    <w:rsid w:val="00103E5E"/>
    <w:rsid w:val="002C0B9D"/>
    <w:rsid w:val="003C017B"/>
    <w:rsid w:val="003F01F9"/>
    <w:rsid w:val="004407C1"/>
    <w:rsid w:val="00A93A61"/>
    <w:rsid w:val="00B24784"/>
    <w:rsid w:val="00EA0726"/>
    <w:rsid w:val="00F7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2805"/>
  <w15:docId w15:val="{D61FE522-6797-49F2-9D73-B74EEF18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C7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">
    <w:name w:val="Texto"/>
    <w:aliases w:val="independiente,independiente Car Car Car"/>
    <w:basedOn w:val="Normal"/>
    <w:link w:val="TextoCar"/>
    <w:qFormat/>
    <w:rsid w:val="005C637C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5C637C"/>
    <w:rPr>
      <w:rFonts w:ascii="Arial" w:eastAsia="Times New Roman" w:hAnsi="Arial" w:cs="Arial"/>
      <w:sz w:val="1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578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A830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30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30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0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0A9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C0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B9D"/>
  </w:style>
  <w:style w:type="paragraph" w:styleId="Piedepgina">
    <w:name w:val="footer"/>
    <w:basedOn w:val="Normal"/>
    <w:link w:val="PiedepginaCar"/>
    <w:uiPriority w:val="99"/>
    <w:unhideWhenUsed/>
    <w:rsid w:val="002C0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+Xb2xOemHadkXAg0YnX8rmzeHA==">CgMxLjA4AHIhMURZTkxrVXN1SW5EdDlGZUtYUjhIN001NURSRVpkTjBE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1246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Peñaloza</dc:creator>
  <cp:lastModifiedBy>Cesar Ivan Rivera Castro</cp:lastModifiedBy>
  <cp:revision>2</cp:revision>
  <dcterms:created xsi:type="dcterms:W3CDTF">2025-07-14T21:34:00Z</dcterms:created>
  <dcterms:modified xsi:type="dcterms:W3CDTF">2025-07-14T21:34:00Z</dcterms:modified>
</cp:coreProperties>
</file>