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29DC" w:rsidRDefault="005A2882">
      <w:pPr>
        <w:rPr>
          <w:lang w:val="pt-BR"/>
        </w:rPr>
      </w:pPr>
      <w:r>
        <w:rPr>
          <w:lang w:val="pt-BR"/>
        </w:rPr>
        <w:t>2. ARENA</w:t>
      </w:r>
    </w:p>
    <w:p w:rsidR="005A2882" w:rsidRPr="00D45558" w:rsidRDefault="005A2882">
      <w:pPr>
        <w:rPr>
          <w:b/>
          <w:lang w:val="pt-BR"/>
        </w:rPr>
      </w:pPr>
      <w:proofErr w:type="gramStart"/>
      <w:r w:rsidRPr="00D45558">
        <w:rPr>
          <w:b/>
          <w:lang w:val="pt-BR"/>
        </w:rPr>
        <w:t>2.1 VISÃO</w:t>
      </w:r>
      <w:proofErr w:type="gramEnd"/>
      <w:r w:rsidRPr="00D45558">
        <w:rPr>
          <w:b/>
          <w:lang w:val="pt-BR"/>
        </w:rPr>
        <w:t xml:space="preserve"> GERAL </w:t>
      </w:r>
    </w:p>
    <w:p w:rsidR="005A2882" w:rsidRDefault="005A2882">
      <w:pPr>
        <w:rPr>
          <w:b/>
          <w:lang w:val="pt-BR"/>
        </w:rPr>
      </w:pPr>
      <w:r>
        <w:rPr>
          <w:lang w:val="pt-BR"/>
        </w:rPr>
        <w:t xml:space="preserve">A </w:t>
      </w:r>
      <w:r w:rsidR="00DF42FD">
        <w:rPr>
          <w:lang w:val="pt-BR"/>
        </w:rPr>
        <w:t>ARENA</w:t>
      </w:r>
      <w:r>
        <w:rPr>
          <w:lang w:val="pt-BR"/>
        </w:rPr>
        <w:t xml:space="preserve"> inclui todos os elementos de infra-estrutura do jogo que são requeridos para jogar </w:t>
      </w:r>
      <w:proofErr w:type="spellStart"/>
      <w:proofErr w:type="gramStart"/>
      <w:r>
        <w:rPr>
          <w:lang w:val="pt-BR"/>
        </w:rPr>
        <w:t>Logomotion</w:t>
      </w:r>
      <w:proofErr w:type="spellEnd"/>
      <w:r>
        <w:rPr>
          <w:lang w:val="pt-BR"/>
        </w:rPr>
        <w:t xml:space="preserve"> </w:t>
      </w:r>
      <w:r w:rsidR="00DF42FD">
        <w:rPr>
          <w:lang w:val="pt-BR"/>
        </w:rPr>
        <w:t>:</w:t>
      </w:r>
      <w:proofErr w:type="gramEnd"/>
      <w:r w:rsidR="00DF42FD">
        <w:rPr>
          <w:lang w:val="pt-BR"/>
        </w:rPr>
        <w:t xml:space="preserve"> o CAMPO</w:t>
      </w:r>
      <w:r>
        <w:rPr>
          <w:lang w:val="pt-BR"/>
        </w:rPr>
        <w:t xml:space="preserve"> , a </w:t>
      </w:r>
      <w:r w:rsidR="00DF42FD">
        <w:rPr>
          <w:lang w:val="pt-BR"/>
        </w:rPr>
        <w:t>ESTAÇÃO DAS ALIANÇAS</w:t>
      </w:r>
      <w:r>
        <w:rPr>
          <w:lang w:val="pt-BR"/>
        </w:rPr>
        <w:t xml:space="preserve"> , as </w:t>
      </w:r>
      <w:r w:rsidR="00DF42FD">
        <w:rPr>
          <w:lang w:val="pt-BR"/>
        </w:rPr>
        <w:t>PEÇAS DO JOGO</w:t>
      </w:r>
      <w:r>
        <w:rPr>
          <w:lang w:val="pt-BR"/>
        </w:rPr>
        <w:t xml:space="preserve"> e todo suporte de comunicação , controle de arena , e</w:t>
      </w:r>
      <w:r w:rsidRPr="00DF42FD">
        <w:rPr>
          <w:lang w:val="pt-BR"/>
        </w:rPr>
        <w:t xml:space="preserve"> os equipamentos de marcar pontos.</w:t>
      </w:r>
    </w:p>
    <w:p w:rsidR="005A2882" w:rsidRDefault="00DF42FD">
      <w:pPr>
        <w:rPr>
          <w:lang w:val="pt-BR"/>
        </w:rPr>
      </w:pPr>
      <w:r>
        <w:rPr>
          <w:lang w:val="pt-BR"/>
        </w:rPr>
        <w:t>ROBÔS</w:t>
      </w:r>
      <w:proofErr w:type="gramStart"/>
      <w:r>
        <w:rPr>
          <w:lang w:val="pt-BR"/>
        </w:rPr>
        <w:t xml:space="preserve"> </w:t>
      </w:r>
      <w:r w:rsidR="005A2882">
        <w:rPr>
          <w:lang w:val="pt-BR"/>
        </w:rPr>
        <w:t xml:space="preserve"> </w:t>
      </w:r>
      <w:proofErr w:type="gramEnd"/>
      <w:r w:rsidR="005A2882">
        <w:rPr>
          <w:lang w:val="pt-BR"/>
        </w:rPr>
        <w:t xml:space="preserve">jogam </w:t>
      </w:r>
      <w:proofErr w:type="spellStart"/>
      <w:r w:rsidR="005A2882">
        <w:rPr>
          <w:lang w:val="pt-BR"/>
        </w:rPr>
        <w:t>Logomotion</w:t>
      </w:r>
      <w:proofErr w:type="spellEnd"/>
      <w:r w:rsidR="005A2882">
        <w:rPr>
          <w:lang w:val="pt-BR"/>
        </w:rPr>
        <w:t xml:space="preserve"> em uma quadra de 27 por 54 pés conhecida como o </w:t>
      </w:r>
      <w:r>
        <w:rPr>
          <w:lang w:val="pt-BR"/>
        </w:rPr>
        <w:t>CAMPO. O CAMPO</w:t>
      </w:r>
      <w:r w:rsidR="005A2882">
        <w:rPr>
          <w:lang w:val="pt-BR"/>
        </w:rPr>
        <w:t xml:space="preserve"> é circundado por barras de segurança e </w:t>
      </w:r>
      <w:r>
        <w:rPr>
          <w:lang w:val="pt-BR"/>
        </w:rPr>
        <w:t>MURO DAS ALIANÇAS.</w:t>
      </w:r>
    </w:p>
    <w:p w:rsidR="00053222" w:rsidRDefault="00053222">
      <w:pPr>
        <w:rPr>
          <w:lang w:val="pt-BR"/>
        </w:rPr>
      </w:pPr>
      <w:r>
        <w:rPr>
          <w:lang w:val="pt-BR"/>
        </w:rPr>
        <w:t xml:space="preserve">Durante as </w:t>
      </w:r>
      <w:r w:rsidR="00961EA2">
        <w:rPr>
          <w:lang w:val="pt-BR"/>
        </w:rPr>
        <w:t>PARTIDAS</w:t>
      </w:r>
      <w:r>
        <w:rPr>
          <w:lang w:val="pt-BR"/>
        </w:rPr>
        <w:t xml:space="preserve"> os robôs são controlados das ESTAÇÕES DAS ALIANÇAS localizadas fora dos finais do campo. Estas zonas retangulares consistem de três ESTAÇÕES DE TIMES DE JOGADORES que providenciam conectividade entre os controles usados pelos operadores do robô e pela ARENA. GRADES DE PONTUAÇÃO estão localizadas diretamente em frente às ESTAÇÕES DE JOGADORES, presas às superfícies das PAREDES DAS ALIANÇAS direcionadas para o CAMPO.</w:t>
      </w:r>
    </w:p>
    <w:p w:rsidR="00DF42FD" w:rsidRDefault="00053222">
      <w:pPr>
        <w:rPr>
          <w:sz w:val="22"/>
          <w:szCs w:val="22"/>
          <w:lang w:val="pt-BR"/>
        </w:rPr>
      </w:pPr>
      <w:r>
        <w:rPr>
          <w:lang w:val="pt-BR"/>
        </w:rPr>
        <w:t xml:space="preserve">As especificações para a ARENA DO LOGOMOTION usadas na competição estão listadas abaixo na Seção 2.1.1. As especificações referentes e os detalhes da construção da ARENA podem ser </w:t>
      </w:r>
      <w:r w:rsidR="00DF42FD">
        <w:rPr>
          <w:lang w:val="pt-BR"/>
        </w:rPr>
        <w:t>encontrados</w:t>
      </w:r>
      <w:r>
        <w:rPr>
          <w:lang w:val="pt-BR"/>
        </w:rPr>
        <w:t xml:space="preserve"> </w:t>
      </w:r>
      <w:r w:rsidR="00DF42FD">
        <w:rPr>
          <w:lang w:val="pt-BR"/>
        </w:rPr>
        <w:t xml:space="preserve">no site </w:t>
      </w:r>
      <w:hyperlink r:id="rId8" w:history="1">
        <w:r w:rsidR="00DF42FD" w:rsidRPr="008C6ABA">
          <w:rPr>
            <w:rStyle w:val="Hyperlink"/>
            <w:sz w:val="22"/>
            <w:szCs w:val="22"/>
            <w:lang w:val="pt-BR"/>
          </w:rPr>
          <w:t>www.usfirst.org/frc/2011/officialdrawings.html</w:t>
        </w:r>
      </w:hyperlink>
      <w:r w:rsidR="00DF42FD">
        <w:rPr>
          <w:sz w:val="22"/>
          <w:szCs w:val="22"/>
          <w:lang w:val="pt-BR"/>
        </w:rPr>
        <w:t xml:space="preserve">. </w:t>
      </w:r>
      <w:r w:rsidR="00DF42FD" w:rsidRPr="00DF42FD">
        <w:rPr>
          <w:szCs w:val="22"/>
          <w:lang w:val="pt-BR"/>
        </w:rPr>
        <w:t>Note que o site também contém versões desenhos de baixo custo</w:t>
      </w:r>
      <w:r w:rsidR="00DF42FD">
        <w:rPr>
          <w:szCs w:val="22"/>
          <w:lang w:val="pt-BR"/>
        </w:rPr>
        <w:t xml:space="preserve"> de importantes elementos da ARENA. TIMES podem escolher entre tais versões para uso próprio durante a construção e o teste do robô. Estes desenhos podem ser encontrados </w:t>
      </w:r>
      <w:hyperlink r:id="rId9" w:history="1">
        <w:r w:rsidR="00DF42FD" w:rsidRPr="008C6ABA">
          <w:rPr>
            <w:rStyle w:val="Hyperlink"/>
            <w:sz w:val="22"/>
            <w:szCs w:val="22"/>
            <w:lang w:val="pt-BR"/>
          </w:rPr>
          <w:t>www.usfirst.org/frc/2011/teamdrawings.html</w:t>
        </w:r>
      </w:hyperlink>
      <w:r w:rsidR="00DF42FD">
        <w:rPr>
          <w:sz w:val="22"/>
          <w:szCs w:val="22"/>
          <w:lang w:val="pt-BR"/>
        </w:rPr>
        <w:t>.</w:t>
      </w:r>
    </w:p>
    <w:p w:rsidR="00DF42FD" w:rsidRDefault="00DF42FD">
      <w:pPr>
        <w:rPr>
          <w:lang w:val="pt-BR"/>
        </w:rPr>
      </w:pPr>
    </w:p>
    <w:p w:rsidR="00D45558" w:rsidRDefault="00D45558">
      <w:pPr>
        <w:rPr>
          <w:lang w:val="pt-BR"/>
        </w:rPr>
      </w:pPr>
      <w:r>
        <w:rPr>
          <w:b/>
          <w:lang w:val="pt-BR"/>
        </w:rPr>
        <w:t>2.1.1 Dimensões e Tolerâncias</w:t>
      </w:r>
    </w:p>
    <w:p w:rsidR="00D45558" w:rsidRDefault="00D45558">
      <w:pPr>
        <w:rPr>
          <w:lang w:val="pt-BR"/>
        </w:rPr>
      </w:pPr>
      <w:r>
        <w:rPr>
          <w:lang w:val="pt-BR"/>
        </w:rPr>
        <w:t>As exatas dimensões e detalhes da construção da ARENA estão contidos nos desenhos oficiais da arena. Os desenhos relevantes incluem:</w:t>
      </w:r>
    </w:p>
    <w:p w:rsidR="00D45558" w:rsidRDefault="00D45558">
      <w:pPr>
        <w:rPr>
          <w:lang w:val="pt-BR"/>
        </w:rPr>
      </w:pPr>
    </w:p>
    <w:p w:rsidR="00D45558" w:rsidRDefault="00D45558">
      <w:pPr>
        <w:rPr>
          <w:lang w:val="pt-BR"/>
        </w:rPr>
      </w:pPr>
    </w:p>
    <w:p w:rsidR="00D45558" w:rsidRDefault="00D45558">
      <w:pPr>
        <w:rPr>
          <w:lang w:val="pt-BR"/>
        </w:rPr>
      </w:pPr>
    </w:p>
    <w:p w:rsidR="00D45558" w:rsidRDefault="00D45558">
      <w:pPr>
        <w:rPr>
          <w:lang w:val="pt-BR"/>
        </w:rPr>
      </w:pPr>
    </w:p>
    <w:p w:rsidR="00D45558" w:rsidRDefault="00D45558">
      <w:pPr>
        <w:rPr>
          <w:lang w:val="pt-BR"/>
        </w:rPr>
      </w:pPr>
    </w:p>
    <w:p w:rsidR="00D45558" w:rsidRDefault="00D45558">
      <w:pPr>
        <w:rPr>
          <w:lang w:val="pt-BR"/>
        </w:rPr>
      </w:pPr>
    </w:p>
    <w:p w:rsidR="00BB3A95" w:rsidRDefault="00BB3A95">
      <w:pPr>
        <w:rPr>
          <w:lang w:val="pt-BR"/>
        </w:rPr>
      </w:pPr>
    </w:p>
    <w:tbl>
      <w:tblPr>
        <w:tblStyle w:val="Tabelacomgrade"/>
        <w:tblW w:w="0" w:type="auto"/>
        <w:tblLook w:val="04A0"/>
      </w:tblPr>
      <w:tblGrid>
        <w:gridCol w:w="2161"/>
        <w:gridCol w:w="2161"/>
        <w:gridCol w:w="2161"/>
        <w:gridCol w:w="2161"/>
      </w:tblGrid>
      <w:tr w:rsidR="00D45558" w:rsidTr="00131E70">
        <w:tc>
          <w:tcPr>
            <w:tcW w:w="8644" w:type="dxa"/>
            <w:gridSpan w:val="4"/>
          </w:tcPr>
          <w:p w:rsidR="00D45558" w:rsidRPr="00D45558" w:rsidRDefault="00D45558" w:rsidP="00D45558">
            <w:pPr>
              <w:jc w:val="center"/>
              <w:rPr>
                <w:b/>
                <w:lang w:val="pt-BR"/>
              </w:rPr>
            </w:pPr>
            <w:r w:rsidRPr="00D45558">
              <w:rPr>
                <w:b/>
                <w:lang w:val="pt-BR"/>
              </w:rPr>
              <w:lastRenderedPageBreak/>
              <w:t>DESENHOS FRC 2011</w:t>
            </w:r>
          </w:p>
        </w:tc>
      </w:tr>
      <w:tr w:rsidR="00D45558" w:rsidTr="00D45558">
        <w:tc>
          <w:tcPr>
            <w:tcW w:w="2161" w:type="dxa"/>
          </w:tcPr>
          <w:p w:rsidR="00D45558" w:rsidRPr="00D45558" w:rsidRDefault="00D45558" w:rsidP="00D45558">
            <w:pPr>
              <w:jc w:val="center"/>
              <w:rPr>
                <w:lang w:val="pt-BR"/>
              </w:rPr>
            </w:pPr>
            <w:r>
              <w:rPr>
                <w:b/>
                <w:lang w:val="pt-BR"/>
              </w:rPr>
              <w:t>TÍTULO</w:t>
            </w:r>
          </w:p>
        </w:tc>
        <w:tc>
          <w:tcPr>
            <w:tcW w:w="2161" w:type="dxa"/>
          </w:tcPr>
          <w:p w:rsidR="00D45558" w:rsidRPr="00D45558" w:rsidRDefault="00D45558" w:rsidP="00D45558">
            <w:pPr>
              <w:jc w:val="center"/>
              <w:rPr>
                <w:b/>
                <w:lang w:val="pt-BR"/>
              </w:rPr>
            </w:pPr>
            <w:r>
              <w:rPr>
                <w:b/>
                <w:lang w:val="pt-BR"/>
              </w:rPr>
              <w:t>CATEGORIA</w:t>
            </w:r>
          </w:p>
        </w:tc>
        <w:tc>
          <w:tcPr>
            <w:tcW w:w="2161" w:type="dxa"/>
          </w:tcPr>
          <w:p w:rsidR="00D45558" w:rsidRPr="00D45558" w:rsidRDefault="00D45558" w:rsidP="00D45558">
            <w:pPr>
              <w:jc w:val="center"/>
              <w:rPr>
                <w:b/>
                <w:lang w:val="pt-BR"/>
              </w:rPr>
            </w:pPr>
            <w:r>
              <w:rPr>
                <w:b/>
                <w:lang w:val="pt-BR"/>
              </w:rPr>
              <w:t>Nº DO DESENHO</w:t>
            </w:r>
          </w:p>
        </w:tc>
        <w:tc>
          <w:tcPr>
            <w:tcW w:w="2161" w:type="dxa"/>
          </w:tcPr>
          <w:p w:rsidR="00D45558" w:rsidRPr="00D45558" w:rsidRDefault="00D45558" w:rsidP="00D45558">
            <w:pPr>
              <w:jc w:val="center"/>
              <w:rPr>
                <w:b/>
                <w:lang w:val="pt-BR"/>
              </w:rPr>
            </w:pPr>
            <w:r>
              <w:rPr>
                <w:b/>
                <w:lang w:val="pt-BR"/>
              </w:rPr>
              <w:t>FOLHA(S)</w:t>
            </w:r>
          </w:p>
        </w:tc>
      </w:tr>
      <w:tr w:rsidR="00D45558" w:rsidTr="00D45558">
        <w:tc>
          <w:tcPr>
            <w:tcW w:w="2161" w:type="dxa"/>
          </w:tcPr>
          <w:p w:rsidR="00D45558" w:rsidRPr="005670AD" w:rsidRDefault="00D45558" w:rsidP="00865ED1">
            <w:pPr>
              <w:jc w:val="center"/>
              <w:rPr>
                <w:sz w:val="22"/>
                <w:szCs w:val="22"/>
                <w:lang w:val="pt-BR"/>
              </w:rPr>
            </w:pPr>
            <w:r w:rsidRPr="005670AD">
              <w:rPr>
                <w:sz w:val="22"/>
                <w:szCs w:val="22"/>
                <w:lang w:val="pt-BR"/>
              </w:rPr>
              <w:t>Montagem da Arena 2011</w:t>
            </w:r>
            <w:r w:rsidR="007E7B12" w:rsidRPr="005670AD">
              <w:rPr>
                <w:sz w:val="22"/>
                <w:szCs w:val="22"/>
                <w:lang w:val="pt-BR"/>
              </w:rPr>
              <w:t>*</w:t>
            </w:r>
          </w:p>
        </w:tc>
        <w:tc>
          <w:tcPr>
            <w:tcW w:w="2161" w:type="dxa"/>
          </w:tcPr>
          <w:p w:rsidR="00D45558" w:rsidRPr="005670AD" w:rsidRDefault="005670AD" w:rsidP="00865ED1">
            <w:pPr>
              <w:jc w:val="center"/>
              <w:rPr>
                <w:sz w:val="22"/>
                <w:szCs w:val="22"/>
                <w:lang w:val="pt-BR"/>
              </w:rPr>
            </w:pPr>
            <w:r>
              <w:rPr>
                <w:sz w:val="22"/>
                <w:szCs w:val="22"/>
                <w:lang w:val="pt-BR"/>
              </w:rPr>
              <w:t>Montagem geral da arena</w:t>
            </w:r>
          </w:p>
        </w:tc>
        <w:tc>
          <w:tcPr>
            <w:tcW w:w="2161" w:type="dxa"/>
          </w:tcPr>
          <w:p w:rsidR="00865ED1" w:rsidRPr="005670AD" w:rsidRDefault="00865ED1" w:rsidP="00865ED1">
            <w:pPr>
              <w:pStyle w:val="Default"/>
              <w:jc w:val="center"/>
              <w:rPr>
                <w:sz w:val="22"/>
                <w:szCs w:val="22"/>
              </w:rPr>
            </w:pPr>
            <w:r w:rsidRPr="005670AD">
              <w:rPr>
                <w:i/>
                <w:iCs/>
                <w:sz w:val="22"/>
                <w:szCs w:val="22"/>
              </w:rPr>
              <w:t>FE-00034*</w:t>
            </w:r>
          </w:p>
          <w:p w:rsidR="00D45558" w:rsidRPr="005670AD" w:rsidRDefault="00D45558" w:rsidP="00865ED1">
            <w:pPr>
              <w:jc w:val="center"/>
              <w:rPr>
                <w:sz w:val="22"/>
                <w:szCs w:val="22"/>
                <w:lang w:val="pt-BR"/>
              </w:rPr>
            </w:pPr>
          </w:p>
        </w:tc>
        <w:tc>
          <w:tcPr>
            <w:tcW w:w="2161" w:type="dxa"/>
          </w:tcPr>
          <w:p w:rsidR="00D45558" w:rsidRPr="005670AD" w:rsidRDefault="00BB3A95" w:rsidP="00865ED1">
            <w:pPr>
              <w:jc w:val="center"/>
              <w:rPr>
                <w:sz w:val="22"/>
                <w:szCs w:val="22"/>
                <w:lang w:val="pt-BR"/>
              </w:rPr>
            </w:pPr>
            <w:proofErr w:type="gramStart"/>
            <w:r w:rsidRPr="005670AD">
              <w:rPr>
                <w:sz w:val="22"/>
                <w:szCs w:val="22"/>
                <w:lang w:val="pt-BR"/>
              </w:rPr>
              <w:t>5</w:t>
            </w:r>
            <w:proofErr w:type="gramEnd"/>
            <w:r w:rsidRPr="005670AD">
              <w:rPr>
                <w:sz w:val="22"/>
                <w:szCs w:val="22"/>
                <w:lang w:val="pt-BR"/>
              </w:rPr>
              <w:t xml:space="preserve"> folhas</w:t>
            </w:r>
          </w:p>
        </w:tc>
      </w:tr>
      <w:tr w:rsidR="00D45558" w:rsidTr="00D45558">
        <w:tc>
          <w:tcPr>
            <w:tcW w:w="2161" w:type="dxa"/>
          </w:tcPr>
          <w:p w:rsidR="00D45558" w:rsidRPr="005670AD" w:rsidRDefault="00D45558" w:rsidP="00865ED1">
            <w:pPr>
              <w:jc w:val="center"/>
              <w:rPr>
                <w:sz w:val="22"/>
                <w:szCs w:val="22"/>
                <w:lang w:val="pt-BR"/>
              </w:rPr>
            </w:pPr>
            <w:r w:rsidRPr="005670AD">
              <w:rPr>
                <w:sz w:val="22"/>
                <w:szCs w:val="22"/>
                <w:lang w:val="pt-BR"/>
              </w:rPr>
              <w:t>Montagem do mastro externo</w:t>
            </w:r>
            <w:r w:rsidR="007E7B12" w:rsidRPr="005670AD">
              <w:rPr>
                <w:sz w:val="22"/>
                <w:szCs w:val="22"/>
                <w:lang w:val="pt-BR"/>
              </w:rPr>
              <w:t>*</w:t>
            </w:r>
          </w:p>
        </w:tc>
        <w:tc>
          <w:tcPr>
            <w:tcW w:w="2161" w:type="dxa"/>
          </w:tcPr>
          <w:p w:rsidR="00D45558"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GE-11000</w:t>
            </w:r>
          </w:p>
          <w:p w:rsidR="00D45558" w:rsidRPr="005670AD" w:rsidRDefault="00D45558" w:rsidP="00865ED1">
            <w:pPr>
              <w:jc w:val="center"/>
              <w:rPr>
                <w:sz w:val="22"/>
                <w:szCs w:val="22"/>
                <w:lang w:val="pt-BR"/>
              </w:rPr>
            </w:pPr>
          </w:p>
        </w:tc>
        <w:tc>
          <w:tcPr>
            <w:tcW w:w="2161" w:type="dxa"/>
          </w:tcPr>
          <w:p w:rsidR="00D45558" w:rsidRPr="005670AD" w:rsidRDefault="00BB3A95" w:rsidP="00865ED1">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D45558" w:rsidTr="00D45558">
        <w:tc>
          <w:tcPr>
            <w:tcW w:w="2161" w:type="dxa"/>
          </w:tcPr>
          <w:p w:rsidR="00D45558" w:rsidRPr="005670AD" w:rsidRDefault="00D45558" w:rsidP="00865ED1">
            <w:pPr>
              <w:jc w:val="center"/>
              <w:rPr>
                <w:sz w:val="22"/>
                <w:szCs w:val="22"/>
                <w:lang w:val="pt-BR"/>
              </w:rPr>
            </w:pPr>
            <w:r w:rsidRPr="005670AD">
              <w:rPr>
                <w:sz w:val="22"/>
                <w:szCs w:val="22"/>
                <w:lang w:val="pt-BR"/>
              </w:rPr>
              <w:t>Montagem do mastro central</w:t>
            </w:r>
            <w:r w:rsidR="007E7B12" w:rsidRPr="005670AD">
              <w:rPr>
                <w:sz w:val="22"/>
                <w:szCs w:val="22"/>
                <w:lang w:val="pt-BR"/>
              </w:rPr>
              <w:t>*</w:t>
            </w:r>
          </w:p>
        </w:tc>
        <w:tc>
          <w:tcPr>
            <w:tcW w:w="2161" w:type="dxa"/>
          </w:tcPr>
          <w:p w:rsidR="00D45558"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GE-11003</w:t>
            </w:r>
          </w:p>
          <w:p w:rsidR="00D45558" w:rsidRPr="005670AD" w:rsidRDefault="00D45558" w:rsidP="00865ED1">
            <w:pPr>
              <w:jc w:val="center"/>
              <w:rPr>
                <w:sz w:val="22"/>
                <w:szCs w:val="22"/>
                <w:lang w:val="pt-BR"/>
              </w:rPr>
            </w:pPr>
          </w:p>
        </w:tc>
        <w:tc>
          <w:tcPr>
            <w:tcW w:w="2161" w:type="dxa"/>
          </w:tcPr>
          <w:p w:rsidR="00D45558" w:rsidRPr="005670AD" w:rsidRDefault="00BB3A95" w:rsidP="00865ED1">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D45558" w:rsidTr="00D45558">
        <w:tc>
          <w:tcPr>
            <w:tcW w:w="2161" w:type="dxa"/>
          </w:tcPr>
          <w:p w:rsidR="00D45558" w:rsidRPr="005670AD" w:rsidRDefault="00BB3A95" w:rsidP="00865ED1">
            <w:pPr>
              <w:jc w:val="center"/>
              <w:rPr>
                <w:sz w:val="22"/>
                <w:szCs w:val="22"/>
                <w:lang w:val="pt-BR"/>
              </w:rPr>
            </w:pPr>
            <w:r w:rsidRPr="005670AD">
              <w:rPr>
                <w:sz w:val="22"/>
                <w:szCs w:val="22"/>
                <w:lang w:val="pt-BR"/>
              </w:rPr>
              <w:t>Base</w:t>
            </w:r>
          </w:p>
        </w:tc>
        <w:tc>
          <w:tcPr>
            <w:tcW w:w="2161" w:type="dxa"/>
          </w:tcPr>
          <w:p w:rsidR="00D45558"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GE-11020</w:t>
            </w:r>
          </w:p>
          <w:p w:rsidR="00D45558" w:rsidRPr="005670AD" w:rsidRDefault="00D45558" w:rsidP="00865ED1">
            <w:pPr>
              <w:jc w:val="center"/>
              <w:rPr>
                <w:sz w:val="22"/>
                <w:szCs w:val="22"/>
                <w:lang w:val="pt-BR"/>
              </w:rPr>
            </w:pPr>
          </w:p>
        </w:tc>
        <w:tc>
          <w:tcPr>
            <w:tcW w:w="2161" w:type="dxa"/>
          </w:tcPr>
          <w:p w:rsidR="00D45558" w:rsidRPr="005670AD" w:rsidRDefault="00BB3A95" w:rsidP="00865ED1">
            <w:pPr>
              <w:jc w:val="center"/>
              <w:rPr>
                <w:sz w:val="22"/>
                <w:szCs w:val="22"/>
                <w:lang w:val="pt-BR"/>
              </w:rPr>
            </w:pPr>
            <w:proofErr w:type="gramStart"/>
            <w:r w:rsidRPr="005670AD">
              <w:rPr>
                <w:sz w:val="22"/>
                <w:szCs w:val="22"/>
                <w:lang w:val="pt-BR"/>
              </w:rPr>
              <w:t>3</w:t>
            </w:r>
            <w:proofErr w:type="gramEnd"/>
            <w:r w:rsidRPr="005670AD">
              <w:rPr>
                <w:sz w:val="22"/>
                <w:szCs w:val="22"/>
                <w:lang w:val="pt-BR"/>
              </w:rPr>
              <w:t xml:space="preserve"> folhas</w:t>
            </w:r>
          </w:p>
        </w:tc>
      </w:tr>
      <w:tr w:rsidR="00D45558" w:rsidTr="00D45558">
        <w:tc>
          <w:tcPr>
            <w:tcW w:w="2161" w:type="dxa"/>
          </w:tcPr>
          <w:p w:rsidR="00D45558" w:rsidRPr="005670AD" w:rsidRDefault="00BB3A95" w:rsidP="00865ED1">
            <w:pPr>
              <w:jc w:val="center"/>
              <w:rPr>
                <w:sz w:val="22"/>
                <w:szCs w:val="22"/>
                <w:lang w:val="pt-BR"/>
              </w:rPr>
            </w:pPr>
            <w:r w:rsidRPr="005670AD">
              <w:rPr>
                <w:sz w:val="22"/>
                <w:szCs w:val="22"/>
                <w:lang w:val="pt-BR"/>
              </w:rPr>
              <w:t>Ângulo de o de montagem da esquerda</w:t>
            </w:r>
          </w:p>
        </w:tc>
        <w:tc>
          <w:tcPr>
            <w:tcW w:w="2161" w:type="dxa"/>
          </w:tcPr>
          <w:p w:rsidR="00D45558"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GE-11021</w:t>
            </w:r>
          </w:p>
          <w:p w:rsidR="00D45558" w:rsidRPr="005670AD" w:rsidRDefault="00D45558" w:rsidP="00865ED1">
            <w:pPr>
              <w:jc w:val="center"/>
              <w:rPr>
                <w:sz w:val="22"/>
                <w:szCs w:val="22"/>
                <w:lang w:val="pt-BR"/>
              </w:rPr>
            </w:pPr>
          </w:p>
        </w:tc>
        <w:tc>
          <w:tcPr>
            <w:tcW w:w="2161" w:type="dxa"/>
          </w:tcPr>
          <w:p w:rsidR="00D45558" w:rsidRPr="005670AD" w:rsidRDefault="00BB3A95" w:rsidP="00865ED1">
            <w:pPr>
              <w:jc w:val="center"/>
              <w:rPr>
                <w:sz w:val="22"/>
                <w:szCs w:val="22"/>
                <w:lang w:val="pt-BR"/>
              </w:rPr>
            </w:pPr>
            <w:proofErr w:type="gramStart"/>
            <w:r w:rsidRPr="005670AD">
              <w:rPr>
                <w:sz w:val="22"/>
                <w:szCs w:val="22"/>
                <w:lang w:val="pt-BR"/>
              </w:rPr>
              <w:t>2</w:t>
            </w:r>
            <w:proofErr w:type="gramEnd"/>
            <w:r w:rsidRPr="005670AD">
              <w:rPr>
                <w:sz w:val="22"/>
                <w:szCs w:val="22"/>
                <w:lang w:val="pt-BR"/>
              </w:rPr>
              <w:t xml:space="preserve"> folhas</w:t>
            </w:r>
          </w:p>
        </w:tc>
      </w:tr>
      <w:tr w:rsidR="00D45558" w:rsidTr="00D45558">
        <w:tc>
          <w:tcPr>
            <w:tcW w:w="2161" w:type="dxa"/>
          </w:tcPr>
          <w:p w:rsidR="00D45558" w:rsidRPr="005670AD" w:rsidRDefault="00BB3A95" w:rsidP="00865ED1">
            <w:pPr>
              <w:jc w:val="center"/>
              <w:rPr>
                <w:sz w:val="22"/>
                <w:szCs w:val="22"/>
                <w:lang w:val="pt-BR"/>
              </w:rPr>
            </w:pPr>
            <w:r w:rsidRPr="005670AD">
              <w:rPr>
                <w:sz w:val="22"/>
                <w:szCs w:val="22"/>
                <w:lang w:val="pt-BR"/>
              </w:rPr>
              <w:t>Ângulo de montagem da direita</w:t>
            </w:r>
          </w:p>
        </w:tc>
        <w:tc>
          <w:tcPr>
            <w:tcW w:w="2161" w:type="dxa"/>
          </w:tcPr>
          <w:p w:rsidR="00D45558"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GE-11022</w:t>
            </w:r>
          </w:p>
          <w:p w:rsidR="00D45558" w:rsidRPr="005670AD" w:rsidRDefault="00D45558" w:rsidP="00865ED1">
            <w:pPr>
              <w:jc w:val="center"/>
              <w:rPr>
                <w:sz w:val="22"/>
                <w:szCs w:val="22"/>
                <w:lang w:val="pt-BR"/>
              </w:rPr>
            </w:pPr>
          </w:p>
        </w:tc>
        <w:tc>
          <w:tcPr>
            <w:tcW w:w="2161" w:type="dxa"/>
          </w:tcPr>
          <w:p w:rsidR="00D45558" w:rsidRPr="005670AD" w:rsidRDefault="00BB3A95" w:rsidP="00865ED1">
            <w:pPr>
              <w:jc w:val="center"/>
              <w:rPr>
                <w:sz w:val="22"/>
                <w:szCs w:val="22"/>
                <w:lang w:val="pt-BR"/>
              </w:rPr>
            </w:pPr>
            <w:proofErr w:type="gramStart"/>
            <w:r w:rsidRPr="005670AD">
              <w:rPr>
                <w:sz w:val="22"/>
                <w:szCs w:val="22"/>
                <w:lang w:val="pt-BR"/>
              </w:rPr>
              <w:t>2</w:t>
            </w:r>
            <w:proofErr w:type="gramEnd"/>
            <w:r w:rsidRPr="005670AD">
              <w:rPr>
                <w:sz w:val="22"/>
                <w:szCs w:val="22"/>
                <w:lang w:val="pt-BR"/>
              </w:rPr>
              <w:t xml:space="preserve"> folhas</w:t>
            </w:r>
          </w:p>
        </w:tc>
      </w:tr>
      <w:tr w:rsidR="00BB3A95" w:rsidTr="00D45558">
        <w:tc>
          <w:tcPr>
            <w:tcW w:w="2161" w:type="dxa"/>
          </w:tcPr>
          <w:p w:rsidR="00BB3A95" w:rsidRPr="005670AD" w:rsidRDefault="00865ED1" w:rsidP="00865ED1">
            <w:pPr>
              <w:jc w:val="center"/>
              <w:rPr>
                <w:sz w:val="22"/>
                <w:szCs w:val="22"/>
                <w:lang w:val="pt-BR"/>
              </w:rPr>
            </w:pPr>
            <w:r w:rsidRPr="005670AD">
              <w:rPr>
                <w:sz w:val="22"/>
                <w:szCs w:val="22"/>
                <w:lang w:val="pt-BR"/>
              </w:rPr>
              <w:t>Montagem do divisor de campos</w:t>
            </w:r>
            <w:r w:rsidR="007E7B12" w:rsidRPr="005670AD">
              <w:rPr>
                <w:sz w:val="22"/>
                <w:szCs w:val="22"/>
                <w:lang w:val="pt-BR"/>
              </w:rPr>
              <w:t xml:space="preserve"> *</w:t>
            </w:r>
          </w:p>
        </w:tc>
        <w:tc>
          <w:tcPr>
            <w:tcW w:w="2161" w:type="dxa"/>
          </w:tcPr>
          <w:p w:rsidR="00BB3A95"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GE-11025</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BB3A95" w:rsidTr="00BB3A95">
        <w:tc>
          <w:tcPr>
            <w:tcW w:w="2161" w:type="dxa"/>
          </w:tcPr>
          <w:p w:rsidR="00BB3A95" w:rsidRPr="005670AD" w:rsidRDefault="007D7AA7" w:rsidP="00865ED1">
            <w:pPr>
              <w:jc w:val="center"/>
              <w:rPr>
                <w:sz w:val="22"/>
                <w:szCs w:val="22"/>
                <w:lang w:val="pt-BR"/>
              </w:rPr>
            </w:pPr>
            <w:r w:rsidRPr="005670AD">
              <w:rPr>
                <w:sz w:val="22"/>
                <w:szCs w:val="22"/>
                <w:lang w:val="pt-BR"/>
              </w:rPr>
              <w:t>Vidro do canto direito</w:t>
            </w:r>
          </w:p>
        </w:tc>
        <w:tc>
          <w:tcPr>
            <w:tcW w:w="2161" w:type="dxa"/>
          </w:tcPr>
          <w:p w:rsidR="00BB3A95"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GE-11027</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BB3A95" w:rsidTr="00BB3A95">
        <w:tc>
          <w:tcPr>
            <w:tcW w:w="2161" w:type="dxa"/>
          </w:tcPr>
          <w:p w:rsidR="00BB3A95" w:rsidRPr="005670AD" w:rsidRDefault="007D7AA7" w:rsidP="00865ED1">
            <w:pPr>
              <w:jc w:val="center"/>
              <w:rPr>
                <w:sz w:val="22"/>
                <w:szCs w:val="22"/>
                <w:lang w:val="pt-BR"/>
              </w:rPr>
            </w:pPr>
            <w:r w:rsidRPr="005670AD">
              <w:rPr>
                <w:sz w:val="22"/>
                <w:szCs w:val="22"/>
                <w:lang w:val="pt-BR"/>
              </w:rPr>
              <w:t>Vidro do canto esquerdo</w:t>
            </w:r>
          </w:p>
        </w:tc>
        <w:tc>
          <w:tcPr>
            <w:tcW w:w="2161" w:type="dxa"/>
          </w:tcPr>
          <w:p w:rsidR="00BB3A95"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GE-11028</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BB3A95" w:rsidTr="00BB3A95">
        <w:tc>
          <w:tcPr>
            <w:tcW w:w="2161" w:type="dxa"/>
          </w:tcPr>
          <w:p w:rsidR="00BB3A95" w:rsidRPr="005670AD" w:rsidRDefault="007D7AA7" w:rsidP="00865ED1">
            <w:pPr>
              <w:jc w:val="center"/>
              <w:rPr>
                <w:sz w:val="22"/>
                <w:szCs w:val="22"/>
                <w:lang w:val="pt-BR"/>
              </w:rPr>
            </w:pPr>
            <w:proofErr w:type="spellStart"/>
            <w:r w:rsidRPr="005670AD">
              <w:rPr>
                <w:sz w:val="22"/>
                <w:szCs w:val="22"/>
                <w:lang w:val="pt-BR"/>
              </w:rPr>
              <w:t>Modified</w:t>
            </w:r>
            <w:proofErr w:type="spellEnd"/>
            <w:r w:rsidRPr="005670AD">
              <w:rPr>
                <w:sz w:val="22"/>
                <w:szCs w:val="22"/>
                <w:lang w:val="pt-BR"/>
              </w:rPr>
              <w:t xml:space="preserve"> </w:t>
            </w:r>
            <w:proofErr w:type="spellStart"/>
            <w:r w:rsidRPr="005670AD">
              <w:rPr>
                <w:sz w:val="22"/>
                <w:szCs w:val="22"/>
                <w:lang w:val="pt-BR"/>
              </w:rPr>
              <w:t>end</w:t>
            </w:r>
            <w:proofErr w:type="spellEnd"/>
            <w:r w:rsidRPr="005670AD">
              <w:rPr>
                <w:sz w:val="22"/>
                <w:szCs w:val="22"/>
                <w:lang w:val="pt-BR"/>
              </w:rPr>
              <w:t xml:space="preserve"> </w:t>
            </w:r>
            <w:proofErr w:type="spellStart"/>
            <w:proofErr w:type="gramStart"/>
            <w:r w:rsidRPr="005670AD">
              <w:rPr>
                <w:sz w:val="22"/>
                <w:szCs w:val="22"/>
                <w:lang w:val="pt-BR"/>
              </w:rPr>
              <w:t>panel</w:t>
            </w:r>
            <w:proofErr w:type="spellEnd"/>
            <w:r w:rsidRPr="005670AD">
              <w:rPr>
                <w:sz w:val="22"/>
                <w:szCs w:val="22"/>
                <w:lang w:val="pt-BR"/>
              </w:rPr>
              <w:t xml:space="preserve"> ,</w:t>
            </w:r>
            <w:proofErr w:type="gramEnd"/>
            <w:r w:rsidRPr="005670AD">
              <w:rPr>
                <w:sz w:val="22"/>
                <w:szCs w:val="22"/>
                <w:lang w:val="pt-BR"/>
              </w:rPr>
              <w:t xml:space="preserve"> co</w:t>
            </w:r>
            <w:r w:rsidR="007E7B12" w:rsidRPr="005670AD">
              <w:rPr>
                <w:sz w:val="22"/>
                <w:szCs w:val="22"/>
                <w:lang w:val="pt-BR"/>
              </w:rPr>
              <w:t>r</w:t>
            </w:r>
            <w:r w:rsidRPr="005670AD">
              <w:rPr>
                <w:sz w:val="22"/>
                <w:szCs w:val="22"/>
                <w:lang w:val="pt-BR"/>
              </w:rPr>
              <w:t>ner</w:t>
            </w:r>
          </w:p>
        </w:tc>
        <w:tc>
          <w:tcPr>
            <w:tcW w:w="2161" w:type="dxa"/>
          </w:tcPr>
          <w:p w:rsidR="00BB3A95"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GE-11041</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8</w:t>
            </w:r>
            <w:proofErr w:type="gramEnd"/>
            <w:r w:rsidRPr="005670AD">
              <w:rPr>
                <w:sz w:val="22"/>
                <w:szCs w:val="22"/>
                <w:lang w:val="pt-BR"/>
              </w:rPr>
              <w:t xml:space="preserve"> folhas</w:t>
            </w:r>
          </w:p>
        </w:tc>
      </w:tr>
      <w:tr w:rsidR="00BB3A95" w:rsidTr="00BB3A95">
        <w:tc>
          <w:tcPr>
            <w:tcW w:w="2161" w:type="dxa"/>
          </w:tcPr>
          <w:p w:rsidR="00BB3A95" w:rsidRPr="005670AD" w:rsidRDefault="007D7AA7" w:rsidP="00865ED1">
            <w:pPr>
              <w:jc w:val="center"/>
              <w:rPr>
                <w:sz w:val="22"/>
                <w:szCs w:val="22"/>
                <w:lang w:val="pt-BR"/>
              </w:rPr>
            </w:pPr>
            <w:r w:rsidRPr="005670AD">
              <w:rPr>
                <w:sz w:val="22"/>
                <w:szCs w:val="22"/>
                <w:lang w:val="pt-BR"/>
              </w:rPr>
              <w:t>Montagem da torre</w:t>
            </w:r>
            <w:r w:rsidR="007E7B12" w:rsidRPr="005670AD">
              <w:rPr>
                <w:sz w:val="22"/>
                <w:szCs w:val="22"/>
                <w:lang w:val="pt-BR"/>
              </w:rPr>
              <w:t>*</w:t>
            </w:r>
          </w:p>
        </w:tc>
        <w:tc>
          <w:tcPr>
            <w:tcW w:w="2161" w:type="dxa"/>
          </w:tcPr>
          <w:p w:rsidR="00BB3A95"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GE-11049</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2</w:t>
            </w:r>
            <w:proofErr w:type="gramEnd"/>
            <w:r w:rsidRPr="005670AD">
              <w:rPr>
                <w:sz w:val="22"/>
                <w:szCs w:val="22"/>
                <w:lang w:val="pt-BR"/>
              </w:rPr>
              <w:t xml:space="preserve"> folhas</w:t>
            </w:r>
          </w:p>
        </w:tc>
      </w:tr>
      <w:tr w:rsidR="00BB3A95" w:rsidTr="00BB3A95">
        <w:tc>
          <w:tcPr>
            <w:tcW w:w="2161" w:type="dxa"/>
          </w:tcPr>
          <w:p w:rsidR="00BB3A95" w:rsidRPr="005670AD" w:rsidRDefault="007D7AA7" w:rsidP="00865ED1">
            <w:pPr>
              <w:jc w:val="center"/>
              <w:rPr>
                <w:sz w:val="22"/>
                <w:szCs w:val="22"/>
                <w:lang w:val="pt-BR"/>
              </w:rPr>
            </w:pPr>
            <w:r w:rsidRPr="005670AD">
              <w:rPr>
                <w:sz w:val="22"/>
                <w:szCs w:val="22"/>
                <w:lang w:val="pt-BR"/>
              </w:rPr>
              <w:t>Suporte da rede</w:t>
            </w:r>
          </w:p>
        </w:tc>
        <w:tc>
          <w:tcPr>
            <w:tcW w:w="2161" w:type="dxa"/>
          </w:tcPr>
          <w:p w:rsidR="00BB3A95"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GE-11051</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BB3A95" w:rsidTr="00BB3A95">
        <w:tc>
          <w:tcPr>
            <w:tcW w:w="2161" w:type="dxa"/>
          </w:tcPr>
          <w:p w:rsidR="00BB3A95" w:rsidRPr="005670AD" w:rsidRDefault="007D7AA7" w:rsidP="00865ED1">
            <w:pPr>
              <w:jc w:val="center"/>
              <w:rPr>
                <w:sz w:val="22"/>
                <w:szCs w:val="22"/>
                <w:lang w:val="pt-BR"/>
              </w:rPr>
            </w:pPr>
            <w:r w:rsidRPr="005670AD">
              <w:rPr>
                <w:sz w:val="22"/>
                <w:szCs w:val="22"/>
                <w:lang w:val="pt-BR"/>
              </w:rPr>
              <w:t>Rede</w:t>
            </w:r>
          </w:p>
        </w:tc>
        <w:tc>
          <w:tcPr>
            <w:tcW w:w="2161" w:type="dxa"/>
          </w:tcPr>
          <w:p w:rsidR="00BB3A95"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GE-11055</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BB3A95" w:rsidTr="00BB3A95">
        <w:tc>
          <w:tcPr>
            <w:tcW w:w="2161" w:type="dxa"/>
          </w:tcPr>
          <w:p w:rsidR="00BB3A95" w:rsidRPr="005670AD" w:rsidRDefault="007D7AA7" w:rsidP="00865ED1">
            <w:pPr>
              <w:jc w:val="center"/>
              <w:rPr>
                <w:sz w:val="22"/>
                <w:szCs w:val="22"/>
                <w:lang w:val="pt-BR"/>
              </w:rPr>
            </w:pPr>
            <w:r w:rsidRPr="005670AD">
              <w:rPr>
                <w:sz w:val="22"/>
                <w:szCs w:val="22"/>
                <w:lang w:val="pt-BR"/>
              </w:rPr>
              <w:t>Proteção</w:t>
            </w:r>
          </w:p>
        </w:tc>
        <w:tc>
          <w:tcPr>
            <w:tcW w:w="2161" w:type="dxa"/>
          </w:tcPr>
          <w:p w:rsidR="00BB3A95" w:rsidRPr="005670AD" w:rsidRDefault="00865ED1" w:rsidP="00865ED1">
            <w:pPr>
              <w:jc w:val="center"/>
              <w:rPr>
                <w:sz w:val="22"/>
                <w:szCs w:val="22"/>
                <w:lang w:val="pt-BR"/>
              </w:rPr>
            </w:pPr>
            <w:r w:rsidRPr="005670AD">
              <w:rPr>
                <w:sz w:val="22"/>
                <w:szCs w:val="22"/>
                <w:lang w:val="pt-BR"/>
              </w:rPr>
              <w:t>Específico do jogo 2011</w:t>
            </w:r>
          </w:p>
        </w:tc>
        <w:tc>
          <w:tcPr>
            <w:tcW w:w="2161" w:type="dxa"/>
          </w:tcPr>
          <w:p w:rsidR="00865ED1" w:rsidRPr="005670AD" w:rsidRDefault="00865ED1" w:rsidP="00865ED1">
            <w:pPr>
              <w:pStyle w:val="Default"/>
              <w:jc w:val="center"/>
              <w:rPr>
                <w:sz w:val="22"/>
                <w:szCs w:val="22"/>
              </w:rPr>
            </w:pPr>
            <w:r w:rsidRPr="005670AD">
              <w:rPr>
                <w:sz w:val="22"/>
                <w:szCs w:val="22"/>
              </w:rPr>
              <w:t>GE-11060</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BB3A95" w:rsidTr="00BB3A95">
        <w:tc>
          <w:tcPr>
            <w:tcW w:w="2161" w:type="dxa"/>
          </w:tcPr>
          <w:p w:rsidR="00BB3A95" w:rsidRPr="005670AD" w:rsidRDefault="007D7AA7" w:rsidP="00865ED1">
            <w:pPr>
              <w:jc w:val="center"/>
              <w:rPr>
                <w:sz w:val="22"/>
                <w:szCs w:val="22"/>
                <w:lang w:val="pt-BR"/>
              </w:rPr>
            </w:pPr>
            <w:r w:rsidRPr="005670AD">
              <w:rPr>
                <w:sz w:val="22"/>
                <w:szCs w:val="22"/>
                <w:lang w:val="pt-BR"/>
              </w:rPr>
              <w:t>Grade superior</w:t>
            </w:r>
          </w:p>
        </w:tc>
        <w:tc>
          <w:tcPr>
            <w:tcW w:w="2161" w:type="dxa"/>
          </w:tcPr>
          <w:p w:rsidR="00BB3A95" w:rsidRPr="005670AD" w:rsidRDefault="00865ED1" w:rsidP="00865ED1">
            <w:pPr>
              <w:jc w:val="center"/>
              <w:rPr>
                <w:sz w:val="22"/>
                <w:szCs w:val="22"/>
                <w:lang w:val="pt-BR"/>
              </w:rPr>
            </w:pPr>
            <w:r w:rsidRPr="005670AD">
              <w:rPr>
                <w:sz w:val="22"/>
                <w:szCs w:val="22"/>
                <w:lang w:val="pt-BR"/>
              </w:rPr>
              <w:t>Específico do jogo 20</w:t>
            </w:r>
            <w:r w:rsidR="0069566A" w:rsidRPr="005670AD">
              <w:rPr>
                <w:sz w:val="22"/>
                <w:szCs w:val="22"/>
                <w:lang w:val="pt-BR"/>
              </w:rPr>
              <w:t>09</w:t>
            </w:r>
          </w:p>
        </w:tc>
        <w:tc>
          <w:tcPr>
            <w:tcW w:w="2161" w:type="dxa"/>
          </w:tcPr>
          <w:p w:rsidR="00865ED1" w:rsidRPr="005670AD" w:rsidRDefault="00865ED1" w:rsidP="00865ED1">
            <w:pPr>
              <w:pStyle w:val="Default"/>
              <w:jc w:val="center"/>
              <w:rPr>
                <w:sz w:val="22"/>
                <w:szCs w:val="22"/>
              </w:rPr>
            </w:pPr>
            <w:r w:rsidRPr="005670AD">
              <w:rPr>
                <w:sz w:val="22"/>
                <w:szCs w:val="22"/>
              </w:rPr>
              <w:t>GE-09031</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BB3A95" w:rsidTr="00BB3A95">
        <w:tc>
          <w:tcPr>
            <w:tcW w:w="2161" w:type="dxa"/>
          </w:tcPr>
          <w:p w:rsidR="00BB3A95" w:rsidRPr="005670AD" w:rsidRDefault="007D7AA7" w:rsidP="00865ED1">
            <w:pPr>
              <w:jc w:val="center"/>
              <w:rPr>
                <w:sz w:val="22"/>
                <w:szCs w:val="22"/>
                <w:lang w:val="pt-BR"/>
              </w:rPr>
            </w:pPr>
            <w:r w:rsidRPr="005670AD">
              <w:rPr>
                <w:sz w:val="22"/>
                <w:szCs w:val="22"/>
                <w:lang w:val="pt-BR"/>
              </w:rPr>
              <w:t xml:space="preserve">Suporte Drive </w:t>
            </w:r>
            <w:proofErr w:type="spellStart"/>
            <w:r w:rsidRPr="005670AD">
              <w:rPr>
                <w:sz w:val="22"/>
                <w:szCs w:val="22"/>
                <w:lang w:val="pt-BR"/>
              </w:rPr>
              <w:t>Station</w:t>
            </w:r>
            <w:proofErr w:type="spellEnd"/>
          </w:p>
        </w:tc>
        <w:tc>
          <w:tcPr>
            <w:tcW w:w="2161" w:type="dxa"/>
          </w:tcPr>
          <w:p w:rsidR="00BB3A95" w:rsidRPr="005670AD" w:rsidRDefault="0069566A" w:rsidP="00865ED1">
            <w:pPr>
              <w:jc w:val="center"/>
              <w:rPr>
                <w:sz w:val="22"/>
                <w:szCs w:val="22"/>
                <w:lang w:val="pt-BR"/>
              </w:rPr>
            </w:pPr>
            <w:r w:rsidRPr="005670AD">
              <w:rPr>
                <w:sz w:val="22"/>
                <w:szCs w:val="22"/>
                <w:lang w:val="pt-BR"/>
              </w:rPr>
              <w:t>Desenho genérico do campo</w:t>
            </w:r>
          </w:p>
        </w:tc>
        <w:tc>
          <w:tcPr>
            <w:tcW w:w="2161" w:type="dxa"/>
          </w:tcPr>
          <w:p w:rsidR="00865ED1" w:rsidRPr="005670AD" w:rsidRDefault="00865ED1" w:rsidP="00865ED1">
            <w:pPr>
              <w:pStyle w:val="Default"/>
              <w:jc w:val="center"/>
              <w:rPr>
                <w:sz w:val="22"/>
                <w:szCs w:val="22"/>
              </w:rPr>
            </w:pPr>
            <w:r w:rsidRPr="005670AD">
              <w:rPr>
                <w:sz w:val="22"/>
                <w:szCs w:val="22"/>
              </w:rPr>
              <w:t>FE-00001</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2</w:t>
            </w:r>
            <w:proofErr w:type="gramEnd"/>
            <w:r w:rsidR="00865ED1" w:rsidRPr="005670AD">
              <w:rPr>
                <w:sz w:val="22"/>
                <w:szCs w:val="22"/>
                <w:lang w:val="pt-BR"/>
              </w:rPr>
              <w:t xml:space="preserve"> folhas</w:t>
            </w:r>
          </w:p>
        </w:tc>
      </w:tr>
      <w:tr w:rsidR="00BB3A95" w:rsidTr="00BB3A95">
        <w:tc>
          <w:tcPr>
            <w:tcW w:w="2161" w:type="dxa"/>
          </w:tcPr>
          <w:p w:rsidR="00BB3A95" w:rsidRPr="005670AD" w:rsidRDefault="007D7AA7" w:rsidP="007D7AA7">
            <w:pPr>
              <w:jc w:val="center"/>
              <w:rPr>
                <w:sz w:val="22"/>
                <w:szCs w:val="22"/>
                <w:lang w:val="pt-BR"/>
              </w:rPr>
            </w:pPr>
            <w:r w:rsidRPr="005670AD">
              <w:rPr>
                <w:sz w:val="22"/>
                <w:szCs w:val="22"/>
                <w:lang w:val="pt-BR"/>
              </w:rPr>
              <w:t xml:space="preserve">Suporte do </w:t>
            </w:r>
            <w:proofErr w:type="gramStart"/>
            <w:r w:rsidRPr="005670AD">
              <w:rPr>
                <w:sz w:val="22"/>
                <w:szCs w:val="22"/>
                <w:lang w:val="pt-BR"/>
              </w:rPr>
              <w:t xml:space="preserve">canto </w:t>
            </w:r>
            <w:r w:rsidRPr="005670AD">
              <w:rPr>
                <w:sz w:val="22"/>
                <w:szCs w:val="22"/>
                <w:lang w:val="pt-BR"/>
              </w:rPr>
              <w:lastRenderedPageBreak/>
              <w:t>,</w:t>
            </w:r>
            <w:proofErr w:type="gramEnd"/>
            <w:r w:rsidRPr="005670AD">
              <w:rPr>
                <w:sz w:val="22"/>
                <w:szCs w:val="22"/>
                <w:lang w:val="pt-BR"/>
              </w:rPr>
              <w:t>direito e esquerdo</w:t>
            </w:r>
          </w:p>
        </w:tc>
        <w:tc>
          <w:tcPr>
            <w:tcW w:w="2161" w:type="dxa"/>
          </w:tcPr>
          <w:p w:rsidR="00BB3A95" w:rsidRPr="005670AD" w:rsidRDefault="0069566A" w:rsidP="00865ED1">
            <w:pPr>
              <w:jc w:val="center"/>
              <w:rPr>
                <w:sz w:val="22"/>
                <w:szCs w:val="22"/>
                <w:lang w:val="pt-BR"/>
              </w:rPr>
            </w:pPr>
            <w:r w:rsidRPr="005670AD">
              <w:rPr>
                <w:sz w:val="22"/>
                <w:szCs w:val="22"/>
                <w:lang w:val="pt-BR"/>
              </w:rPr>
              <w:lastRenderedPageBreak/>
              <w:t xml:space="preserve">Desenho genérico do </w:t>
            </w:r>
            <w:r w:rsidRPr="005670AD">
              <w:rPr>
                <w:sz w:val="22"/>
                <w:szCs w:val="22"/>
                <w:lang w:val="pt-BR"/>
              </w:rPr>
              <w:lastRenderedPageBreak/>
              <w:t>campo</w:t>
            </w:r>
          </w:p>
        </w:tc>
        <w:tc>
          <w:tcPr>
            <w:tcW w:w="2161" w:type="dxa"/>
          </w:tcPr>
          <w:p w:rsidR="00865ED1" w:rsidRPr="005670AD" w:rsidRDefault="00865ED1" w:rsidP="00865ED1">
            <w:pPr>
              <w:pStyle w:val="Default"/>
              <w:jc w:val="center"/>
              <w:rPr>
                <w:sz w:val="22"/>
                <w:szCs w:val="22"/>
              </w:rPr>
            </w:pPr>
            <w:r w:rsidRPr="005670AD">
              <w:rPr>
                <w:sz w:val="22"/>
                <w:szCs w:val="22"/>
              </w:rPr>
              <w:lastRenderedPageBreak/>
              <w:t>FE-00002</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lastRenderedPageBreak/>
              <w:t>2</w:t>
            </w:r>
            <w:proofErr w:type="gramEnd"/>
            <w:r w:rsidR="00865ED1" w:rsidRPr="005670AD">
              <w:rPr>
                <w:sz w:val="22"/>
                <w:szCs w:val="22"/>
                <w:lang w:val="pt-BR"/>
              </w:rPr>
              <w:t xml:space="preserve"> folhas</w:t>
            </w:r>
          </w:p>
        </w:tc>
      </w:tr>
      <w:tr w:rsidR="00BB3A95" w:rsidTr="00BB3A95">
        <w:tc>
          <w:tcPr>
            <w:tcW w:w="2161" w:type="dxa"/>
          </w:tcPr>
          <w:p w:rsidR="00BB3A95" w:rsidRPr="005670AD" w:rsidRDefault="007D7AA7" w:rsidP="00865ED1">
            <w:pPr>
              <w:jc w:val="center"/>
              <w:rPr>
                <w:sz w:val="22"/>
                <w:szCs w:val="22"/>
                <w:lang w:val="pt-BR"/>
              </w:rPr>
            </w:pPr>
            <w:r w:rsidRPr="005670AD">
              <w:rPr>
                <w:sz w:val="22"/>
                <w:szCs w:val="22"/>
                <w:lang w:val="pt-BR"/>
              </w:rPr>
              <w:lastRenderedPageBreak/>
              <w:t>Montagem dos pinos da grade</w:t>
            </w:r>
          </w:p>
        </w:tc>
        <w:tc>
          <w:tcPr>
            <w:tcW w:w="2161" w:type="dxa"/>
          </w:tcPr>
          <w:p w:rsidR="00BB3A95" w:rsidRPr="005670AD" w:rsidRDefault="0069566A" w:rsidP="00865ED1">
            <w:pPr>
              <w:jc w:val="center"/>
              <w:rPr>
                <w:sz w:val="22"/>
                <w:szCs w:val="22"/>
                <w:lang w:val="pt-BR"/>
              </w:rPr>
            </w:pPr>
            <w:r w:rsidRPr="005670AD">
              <w:rPr>
                <w:sz w:val="22"/>
                <w:szCs w:val="22"/>
                <w:lang w:val="pt-BR"/>
              </w:rPr>
              <w:t>Desenho genérico do campo</w:t>
            </w:r>
          </w:p>
        </w:tc>
        <w:tc>
          <w:tcPr>
            <w:tcW w:w="2161" w:type="dxa"/>
          </w:tcPr>
          <w:p w:rsidR="00865ED1" w:rsidRPr="005670AD" w:rsidRDefault="00865ED1" w:rsidP="00865ED1">
            <w:pPr>
              <w:pStyle w:val="Default"/>
              <w:jc w:val="center"/>
              <w:rPr>
                <w:sz w:val="22"/>
                <w:szCs w:val="22"/>
              </w:rPr>
            </w:pPr>
            <w:r w:rsidRPr="005670AD">
              <w:rPr>
                <w:sz w:val="22"/>
                <w:szCs w:val="22"/>
              </w:rPr>
              <w:t>FE-00003</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1</w:t>
            </w:r>
            <w:proofErr w:type="gramEnd"/>
            <w:r w:rsidR="00865ED1" w:rsidRPr="005670AD">
              <w:rPr>
                <w:sz w:val="22"/>
                <w:szCs w:val="22"/>
                <w:lang w:val="pt-BR"/>
              </w:rPr>
              <w:t xml:space="preserve"> folha</w:t>
            </w:r>
          </w:p>
        </w:tc>
      </w:tr>
      <w:tr w:rsidR="00BB3A95" w:rsidTr="00BC00DF">
        <w:tc>
          <w:tcPr>
            <w:tcW w:w="2161" w:type="dxa"/>
          </w:tcPr>
          <w:p w:rsidR="00BB3A95" w:rsidRPr="005670AD" w:rsidRDefault="007D7AA7" w:rsidP="00865ED1">
            <w:pPr>
              <w:jc w:val="center"/>
              <w:rPr>
                <w:sz w:val="22"/>
                <w:szCs w:val="22"/>
                <w:lang w:val="pt-BR"/>
              </w:rPr>
            </w:pPr>
            <w:r w:rsidRPr="005670AD">
              <w:rPr>
                <w:sz w:val="22"/>
                <w:szCs w:val="22"/>
                <w:lang w:val="pt-BR"/>
              </w:rPr>
              <w:t>Painel final</w:t>
            </w:r>
          </w:p>
        </w:tc>
        <w:tc>
          <w:tcPr>
            <w:tcW w:w="2161" w:type="dxa"/>
          </w:tcPr>
          <w:p w:rsidR="00BB3A95" w:rsidRPr="005670AD" w:rsidRDefault="0069566A" w:rsidP="00865ED1">
            <w:pPr>
              <w:jc w:val="center"/>
              <w:rPr>
                <w:sz w:val="22"/>
                <w:szCs w:val="22"/>
                <w:lang w:val="pt-BR"/>
              </w:rPr>
            </w:pPr>
            <w:r w:rsidRPr="005670AD">
              <w:rPr>
                <w:sz w:val="22"/>
                <w:szCs w:val="22"/>
                <w:lang w:val="pt-BR"/>
              </w:rPr>
              <w:t>Desenho genérico do campo</w:t>
            </w:r>
          </w:p>
        </w:tc>
        <w:tc>
          <w:tcPr>
            <w:tcW w:w="2161" w:type="dxa"/>
          </w:tcPr>
          <w:p w:rsidR="00865ED1" w:rsidRPr="005670AD" w:rsidRDefault="00865ED1" w:rsidP="00865ED1">
            <w:pPr>
              <w:pStyle w:val="Default"/>
              <w:jc w:val="center"/>
              <w:rPr>
                <w:sz w:val="22"/>
                <w:szCs w:val="22"/>
              </w:rPr>
            </w:pPr>
            <w:r w:rsidRPr="005670AD">
              <w:rPr>
                <w:sz w:val="22"/>
                <w:szCs w:val="22"/>
              </w:rPr>
              <w:t>FE-00004</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3</w:t>
            </w:r>
            <w:proofErr w:type="gramEnd"/>
            <w:r w:rsidR="00865ED1" w:rsidRPr="005670AD">
              <w:rPr>
                <w:sz w:val="22"/>
                <w:szCs w:val="22"/>
                <w:lang w:val="pt-BR"/>
              </w:rPr>
              <w:t xml:space="preserve">  folhas</w:t>
            </w:r>
          </w:p>
        </w:tc>
      </w:tr>
      <w:tr w:rsidR="00BB3A95" w:rsidTr="00BB3A95">
        <w:tc>
          <w:tcPr>
            <w:tcW w:w="2161" w:type="dxa"/>
          </w:tcPr>
          <w:p w:rsidR="00BB3A95" w:rsidRPr="005670AD" w:rsidRDefault="006C182B" w:rsidP="00865ED1">
            <w:pPr>
              <w:jc w:val="center"/>
              <w:rPr>
                <w:sz w:val="22"/>
                <w:szCs w:val="22"/>
                <w:lang w:val="pt-BR"/>
              </w:rPr>
            </w:pPr>
            <w:r w:rsidRPr="005670AD">
              <w:rPr>
                <w:sz w:val="22"/>
                <w:szCs w:val="22"/>
                <w:lang w:val="pt-BR"/>
              </w:rPr>
              <w:t>Grade superior do campo</w:t>
            </w:r>
          </w:p>
        </w:tc>
        <w:tc>
          <w:tcPr>
            <w:tcW w:w="2161" w:type="dxa"/>
          </w:tcPr>
          <w:p w:rsidR="00BB3A95" w:rsidRPr="005670AD" w:rsidRDefault="0069566A" w:rsidP="00865ED1">
            <w:pPr>
              <w:jc w:val="center"/>
              <w:rPr>
                <w:sz w:val="22"/>
                <w:szCs w:val="22"/>
                <w:lang w:val="pt-BR"/>
              </w:rPr>
            </w:pPr>
            <w:r w:rsidRPr="005670AD">
              <w:rPr>
                <w:sz w:val="22"/>
                <w:szCs w:val="22"/>
                <w:lang w:val="pt-BR"/>
              </w:rPr>
              <w:t>Desenho genérico do campo</w:t>
            </w:r>
          </w:p>
        </w:tc>
        <w:tc>
          <w:tcPr>
            <w:tcW w:w="2161" w:type="dxa"/>
          </w:tcPr>
          <w:p w:rsidR="00865ED1" w:rsidRPr="005670AD" w:rsidRDefault="00865ED1" w:rsidP="00865ED1">
            <w:pPr>
              <w:pStyle w:val="Default"/>
              <w:jc w:val="center"/>
              <w:rPr>
                <w:sz w:val="22"/>
                <w:szCs w:val="22"/>
              </w:rPr>
            </w:pPr>
            <w:r w:rsidRPr="005670AD">
              <w:rPr>
                <w:sz w:val="22"/>
                <w:szCs w:val="22"/>
              </w:rPr>
              <w:t>FE-00007</w:t>
            </w:r>
          </w:p>
          <w:p w:rsidR="00BB3A95" w:rsidRPr="005670AD" w:rsidRDefault="00BB3A95" w:rsidP="00865ED1">
            <w:pPr>
              <w:jc w:val="center"/>
              <w:rPr>
                <w:sz w:val="22"/>
                <w:szCs w:val="22"/>
                <w:lang w:val="pt-BR"/>
              </w:rPr>
            </w:pPr>
          </w:p>
        </w:tc>
        <w:tc>
          <w:tcPr>
            <w:tcW w:w="2161" w:type="dxa"/>
          </w:tcPr>
          <w:p w:rsidR="00BB3A95" w:rsidRPr="005670AD" w:rsidRDefault="00BB3A95" w:rsidP="00865ED1">
            <w:pPr>
              <w:jc w:val="center"/>
              <w:rPr>
                <w:sz w:val="22"/>
                <w:szCs w:val="22"/>
                <w:lang w:val="pt-BR"/>
              </w:rPr>
            </w:pPr>
            <w:proofErr w:type="gramStart"/>
            <w:r w:rsidRPr="005670AD">
              <w:rPr>
                <w:sz w:val="22"/>
                <w:szCs w:val="22"/>
                <w:lang w:val="pt-BR"/>
              </w:rPr>
              <w:t>1</w:t>
            </w:r>
            <w:proofErr w:type="gramEnd"/>
            <w:r w:rsidR="00865ED1" w:rsidRPr="005670AD">
              <w:rPr>
                <w:sz w:val="22"/>
                <w:szCs w:val="22"/>
                <w:lang w:val="pt-BR"/>
              </w:rPr>
              <w:t xml:space="preserve"> folha</w:t>
            </w:r>
          </w:p>
        </w:tc>
      </w:tr>
      <w:tr w:rsidR="0069566A" w:rsidTr="00BB3A95">
        <w:tc>
          <w:tcPr>
            <w:tcW w:w="2161" w:type="dxa"/>
          </w:tcPr>
          <w:p w:rsidR="0069566A" w:rsidRPr="005670AD" w:rsidRDefault="006C182B" w:rsidP="00865ED1">
            <w:pPr>
              <w:jc w:val="center"/>
              <w:rPr>
                <w:sz w:val="22"/>
                <w:szCs w:val="22"/>
                <w:lang w:val="pt-BR"/>
              </w:rPr>
            </w:pPr>
            <w:r w:rsidRPr="005670AD">
              <w:rPr>
                <w:sz w:val="22"/>
                <w:szCs w:val="22"/>
                <w:lang w:val="pt-BR"/>
              </w:rPr>
              <w:t>Plástico do campo “A”</w:t>
            </w:r>
          </w:p>
        </w:tc>
        <w:tc>
          <w:tcPr>
            <w:tcW w:w="2161" w:type="dxa"/>
          </w:tcPr>
          <w:p w:rsidR="0069566A" w:rsidRPr="005670AD" w:rsidRDefault="0069566A" w:rsidP="00865ED1">
            <w:pPr>
              <w:jc w:val="center"/>
              <w:rPr>
                <w:sz w:val="22"/>
                <w:szCs w:val="22"/>
                <w:lang w:val="pt-BR"/>
              </w:rPr>
            </w:pPr>
            <w:r w:rsidRPr="005670AD">
              <w:rPr>
                <w:sz w:val="22"/>
                <w:szCs w:val="22"/>
                <w:lang w:val="pt-BR"/>
              </w:rPr>
              <w:t>Desenho genérico do campo</w:t>
            </w:r>
          </w:p>
        </w:tc>
        <w:tc>
          <w:tcPr>
            <w:tcW w:w="2161" w:type="dxa"/>
          </w:tcPr>
          <w:p w:rsidR="0069566A" w:rsidRPr="005670AD" w:rsidRDefault="0069566A" w:rsidP="0069566A">
            <w:pPr>
              <w:pStyle w:val="Default"/>
              <w:jc w:val="center"/>
              <w:rPr>
                <w:sz w:val="22"/>
                <w:szCs w:val="22"/>
              </w:rPr>
            </w:pPr>
            <w:r w:rsidRPr="005670AD">
              <w:rPr>
                <w:sz w:val="22"/>
                <w:szCs w:val="22"/>
              </w:rPr>
              <w:t xml:space="preserve">FE-00008 </w:t>
            </w:r>
          </w:p>
          <w:p w:rsidR="0069566A" w:rsidRPr="005670AD" w:rsidRDefault="0069566A" w:rsidP="00865ED1">
            <w:pPr>
              <w:pStyle w:val="Default"/>
              <w:jc w:val="center"/>
              <w:rPr>
                <w:sz w:val="22"/>
                <w:szCs w:val="22"/>
              </w:rPr>
            </w:pPr>
          </w:p>
        </w:tc>
        <w:tc>
          <w:tcPr>
            <w:tcW w:w="2161" w:type="dxa"/>
          </w:tcPr>
          <w:p w:rsidR="0069566A" w:rsidRPr="005670AD" w:rsidRDefault="006B0CE4" w:rsidP="006B0CE4">
            <w:pPr>
              <w:tabs>
                <w:tab w:val="center" w:pos="972"/>
                <w:tab w:val="right" w:pos="1945"/>
              </w:tabs>
              <w:rPr>
                <w:sz w:val="22"/>
                <w:szCs w:val="22"/>
                <w:lang w:val="pt-BR"/>
              </w:rPr>
            </w:pPr>
            <w:r w:rsidRPr="005670AD">
              <w:rPr>
                <w:sz w:val="22"/>
                <w:szCs w:val="22"/>
                <w:lang w:val="pt-BR"/>
              </w:rPr>
              <w:tab/>
            </w:r>
            <w:proofErr w:type="gramStart"/>
            <w:r w:rsidRPr="005670AD">
              <w:rPr>
                <w:sz w:val="22"/>
                <w:szCs w:val="22"/>
                <w:lang w:val="pt-BR"/>
              </w:rPr>
              <w:t>1</w:t>
            </w:r>
            <w:proofErr w:type="gramEnd"/>
            <w:r w:rsidRPr="005670AD">
              <w:rPr>
                <w:sz w:val="22"/>
                <w:szCs w:val="22"/>
                <w:lang w:val="pt-BR"/>
              </w:rPr>
              <w:t xml:space="preserve"> folha</w:t>
            </w:r>
            <w:r w:rsidRPr="005670AD">
              <w:rPr>
                <w:sz w:val="22"/>
                <w:szCs w:val="22"/>
                <w:lang w:val="pt-BR"/>
              </w:rPr>
              <w:tab/>
            </w:r>
          </w:p>
        </w:tc>
      </w:tr>
      <w:tr w:rsidR="0069566A" w:rsidTr="0069566A">
        <w:tc>
          <w:tcPr>
            <w:tcW w:w="2161" w:type="dxa"/>
          </w:tcPr>
          <w:p w:rsidR="0069566A" w:rsidRPr="005670AD" w:rsidRDefault="006C182B" w:rsidP="00BC00DF">
            <w:pPr>
              <w:jc w:val="center"/>
              <w:rPr>
                <w:sz w:val="22"/>
                <w:szCs w:val="22"/>
                <w:lang w:val="pt-BR"/>
              </w:rPr>
            </w:pPr>
            <w:r w:rsidRPr="005670AD">
              <w:rPr>
                <w:sz w:val="22"/>
                <w:szCs w:val="22"/>
                <w:lang w:val="pt-BR"/>
              </w:rPr>
              <w:t>Plástico do campo “B”</w:t>
            </w:r>
          </w:p>
        </w:tc>
        <w:tc>
          <w:tcPr>
            <w:tcW w:w="2161" w:type="dxa"/>
          </w:tcPr>
          <w:p w:rsidR="0069566A" w:rsidRPr="005670AD" w:rsidRDefault="0069566A" w:rsidP="00BC00DF">
            <w:pPr>
              <w:jc w:val="center"/>
              <w:rPr>
                <w:sz w:val="22"/>
                <w:szCs w:val="22"/>
                <w:lang w:val="pt-BR"/>
              </w:rPr>
            </w:pPr>
            <w:r w:rsidRPr="005670AD">
              <w:rPr>
                <w:sz w:val="22"/>
                <w:szCs w:val="22"/>
                <w:lang w:val="pt-BR"/>
              </w:rPr>
              <w:t>Desenho genérico do campo</w:t>
            </w:r>
          </w:p>
        </w:tc>
        <w:tc>
          <w:tcPr>
            <w:tcW w:w="2161" w:type="dxa"/>
          </w:tcPr>
          <w:p w:rsidR="0069566A" w:rsidRPr="005670AD" w:rsidRDefault="0069566A" w:rsidP="0069566A">
            <w:pPr>
              <w:pStyle w:val="Default"/>
              <w:jc w:val="center"/>
              <w:rPr>
                <w:sz w:val="22"/>
                <w:szCs w:val="22"/>
              </w:rPr>
            </w:pPr>
            <w:r w:rsidRPr="005670AD">
              <w:rPr>
                <w:sz w:val="22"/>
                <w:szCs w:val="22"/>
              </w:rPr>
              <w:t>FE-00009</w:t>
            </w:r>
          </w:p>
          <w:p w:rsidR="0069566A" w:rsidRPr="005670AD" w:rsidRDefault="0069566A" w:rsidP="00BC00DF">
            <w:pPr>
              <w:pStyle w:val="Default"/>
              <w:jc w:val="center"/>
              <w:rPr>
                <w:sz w:val="22"/>
                <w:szCs w:val="22"/>
              </w:rPr>
            </w:pPr>
          </w:p>
        </w:tc>
        <w:tc>
          <w:tcPr>
            <w:tcW w:w="2161" w:type="dxa"/>
          </w:tcPr>
          <w:p w:rsidR="0069566A" w:rsidRPr="005670AD" w:rsidRDefault="006B0CE4" w:rsidP="00BC00DF">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69566A" w:rsidTr="0069566A">
        <w:tc>
          <w:tcPr>
            <w:tcW w:w="2161" w:type="dxa"/>
          </w:tcPr>
          <w:p w:rsidR="0069566A" w:rsidRPr="005670AD" w:rsidRDefault="006C182B" w:rsidP="00BC00DF">
            <w:pPr>
              <w:jc w:val="center"/>
              <w:rPr>
                <w:sz w:val="22"/>
                <w:szCs w:val="22"/>
                <w:lang w:val="pt-BR"/>
              </w:rPr>
            </w:pPr>
            <w:r w:rsidRPr="005670AD">
              <w:rPr>
                <w:sz w:val="22"/>
                <w:szCs w:val="22"/>
                <w:lang w:val="pt-BR"/>
              </w:rPr>
              <w:t>Plástico do campo “C”</w:t>
            </w:r>
          </w:p>
        </w:tc>
        <w:tc>
          <w:tcPr>
            <w:tcW w:w="2161" w:type="dxa"/>
          </w:tcPr>
          <w:p w:rsidR="0069566A" w:rsidRPr="005670AD" w:rsidRDefault="0069566A" w:rsidP="00BC00DF">
            <w:pPr>
              <w:jc w:val="center"/>
              <w:rPr>
                <w:sz w:val="22"/>
                <w:szCs w:val="22"/>
                <w:lang w:val="pt-BR"/>
              </w:rPr>
            </w:pPr>
            <w:r w:rsidRPr="005670AD">
              <w:rPr>
                <w:sz w:val="22"/>
                <w:szCs w:val="22"/>
                <w:lang w:val="pt-BR"/>
              </w:rPr>
              <w:t>Desenho genérico do campo</w:t>
            </w:r>
          </w:p>
        </w:tc>
        <w:tc>
          <w:tcPr>
            <w:tcW w:w="2161" w:type="dxa"/>
          </w:tcPr>
          <w:p w:rsidR="0069566A" w:rsidRPr="005670AD" w:rsidRDefault="0069566A" w:rsidP="0069566A">
            <w:pPr>
              <w:pStyle w:val="Default"/>
              <w:jc w:val="center"/>
              <w:rPr>
                <w:sz w:val="22"/>
                <w:szCs w:val="22"/>
              </w:rPr>
            </w:pPr>
            <w:r w:rsidRPr="005670AD">
              <w:rPr>
                <w:sz w:val="22"/>
                <w:szCs w:val="22"/>
              </w:rPr>
              <w:t>FE-00010</w:t>
            </w:r>
          </w:p>
          <w:p w:rsidR="0069566A" w:rsidRPr="005670AD" w:rsidRDefault="0069566A" w:rsidP="00BC00DF">
            <w:pPr>
              <w:pStyle w:val="Default"/>
              <w:jc w:val="center"/>
              <w:rPr>
                <w:sz w:val="22"/>
                <w:szCs w:val="22"/>
              </w:rPr>
            </w:pPr>
          </w:p>
        </w:tc>
        <w:tc>
          <w:tcPr>
            <w:tcW w:w="2161" w:type="dxa"/>
          </w:tcPr>
          <w:p w:rsidR="0069566A" w:rsidRPr="005670AD" w:rsidRDefault="006B0CE4" w:rsidP="00BC00DF">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69566A" w:rsidTr="0069566A">
        <w:tc>
          <w:tcPr>
            <w:tcW w:w="2161" w:type="dxa"/>
          </w:tcPr>
          <w:p w:rsidR="0069566A" w:rsidRPr="005670AD" w:rsidRDefault="006C182B" w:rsidP="006C182B">
            <w:pPr>
              <w:jc w:val="center"/>
              <w:rPr>
                <w:sz w:val="22"/>
                <w:szCs w:val="22"/>
                <w:lang w:val="pt-BR"/>
              </w:rPr>
            </w:pPr>
            <w:r w:rsidRPr="005670AD">
              <w:rPr>
                <w:sz w:val="22"/>
                <w:szCs w:val="22"/>
                <w:lang w:val="pt-BR"/>
              </w:rPr>
              <w:t>Plástico do campo “G”</w:t>
            </w:r>
          </w:p>
        </w:tc>
        <w:tc>
          <w:tcPr>
            <w:tcW w:w="2161" w:type="dxa"/>
          </w:tcPr>
          <w:p w:rsidR="0069566A" w:rsidRPr="005670AD" w:rsidRDefault="0069566A" w:rsidP="00BC00DF">
            <w:pPr>
              <w:jc w:val="center"/>
              <w:rPr>
                <w:sz w:val="22"/>
                <w:szCs w:val="22"/>
                <w:lang w:val="pt-BR"/>
              </w:rPr>
            </w:pPr>
            <w:r w:rsidRPr="005670AD">
              <w:rPr>
                <w:sz w:val="22"/>
                <w:szCs w:val="22"/>
                <w:lang w:val="pt-BR"/>
              </w:rPr>
              <w:t>Desenho genérico do campo</w:t>
            </w:r>
          </w:p>
        </w:tc>
        <w:tc>
          <w:tcPr>
            <w:tcW w:w="2161" w:type="dxa"/>
          </w:tcPr>
          <w:p w:rsidR="0069566A" w:rsidRPr="005670AD" w:rsidRDefault="0069566A" w:rsidP="0069566A">
            <w:pPr>
              <w:pStyle w:val="Default"/>
              <w:jc w:val="center"/>
              <w:rPr>
                <w:sz w:val="22"/>
                <w:szCs w:val="22"/>
              </w:rPr>
            </w:pPr>
            <w:r w:rsidRPr="005670AD">
              <w:rPr>
                <w:sz w:val="22"/>
                <w:szCs w:val="22"/>
              </w:rPr>
              <w:t xml:space="preserve">FE-00011 </w:t>
            </w:r>
          </w:p>
          <w:p w:rsidR="0069566A" w:rsidRPr="005670AD" w:rsidRDefault="0069566A" w:rsidP="00BC00DF">
            <w:pPr>
              <w:pStyle w:val="Default"/>
              <w:jc w:val="center"/>
              <w:rPr>
                <w:sz w:val="22"/>
                <w:szCs w:val="22"/>
              </w:rPr>
            </w:pPr>
          </w:p>
        </w:tc>
        <w:tc>
          <w:tcPr>
            <w:tcW w:w="2161" w:type="dxa"/>
          </w:tcPr>
          <w:p w:rsidR="0069566A" w:rsidRPr="005670AD" w:rsidRDefault="006B0CE4" w:rsidP="00BC00DF">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69566A" w:rsidTr="0069566A">
        <w:tc>
          <w:tcPr>
            <w:tcW w:w="2161" w:type="dxa"/>
          </w:tcPr>
          <w:p w:rsidR="0069566A" w:rsidRPr="005670AD" w:rsidRDefault="006C182B" w:rsidP="00BC00DF">
            <w:pPr>
              <w:jc w:val="center"/>
              <w:rPr>
                <w:sz w:val="22"/>
                <w:szCs w:val="22"/>
                <w:lang w:val="pt-BR"/>
              </w:rPr>
            </w:pPr>
            <w:r w:rsidRPr="005670AD">
              <w:rPr>
                <w:sz w:val="22"/>
                <w:szCs w:val="22"/>
                <w:lang w:val="pt-BR"/>
              </w:rPr>
              <w:t xml:space="preserve">Acrílico da </w:t>
            </w:r>
            <w:proofErr w:type="spellStart"/>
            <w:r w:rsidRPr="005670AD">
              <w:rPr>
                <w:sz w:val="22"/>
                <w:szCs w:val="22"/>
                <w:lang w:val="pt-BR"/>
              </w:rPr>
              <w:t>Driver</w:t>
            </w:r>
            <w:proofErr w:type="spellEnd"/>
            <w:r w:rsidRPr="005670AD">
              <w:rPr>
                <w:sz w:val="22"/>
                <w:szCs w:val="22"/>
                <w:lang w:val="pt-BR"/>
              </w:rPr>
              <w:t xml:space="preserve"> </w:t>
            </w:r>
            <w:proofErr w:type="spellStart"/>
            <w:r w:rsidRPr="005670AD">
              <w:rPr>
                <w:sz w:val="22"/>
                <w:szCs w:val="22"/>
                <w:lang w:val="pt-BR"/>
              </w:rPr>
              <w:t>Station</w:t>
            </w:r>
            <w:proofErr w:type="spellEnd"/>
          </w:p>
        </w:tc>
        <w:tc>
          <w:tcPr>
            <w:tcW w:w="2161" w:type="dxa"/>
          </w:tcPr>
          <w:p w:rsidR="0069566A" w:rsidRPr="005670AD" w:rsidRDefault="0069566A" w:rsidP="00BC00DF">
            <w:pPr>
              <w:jc w:val="center"/>
              <w:rPr>
                <w:sz w:val="22"/>
                <w:szCs w:val="22"/>
                <w:lang w:val="pt-BR"/>
              </w:rPr>
            </w:pPr>
            <w:r w:rsidRPr="005670AD">
              <w:rPr>
                <w:sz w:val="22"/>
                <w:szCs w:val="22"/>
                <w:lang w:val="pt-BR"/>
              </w:rPr>
              <w:t>Desenho genérico do campo</w:t>
            </w:r>
          </w:p>
        </w:tc>
        <w:tc>
          <w:tcPr>
            <w:tcW w:w="2161" w:type="dxa"/>
          </w:tcPr>
          <w:p w:rsidR="0069566A" w:rsidRPr="005670AD" w:rsidRDefault="0069566A" w:rsidP="0069566A">
            <w:pPr>
              <w:pStyle w:val="Default"/>
              <w:jc w:val="center"/>
              <w:rPr>
                <w:sz w:val="22"/>
                <w:szCs w:val="22"/>
              </w:rPr>
            </w:pPr>
            <w:r w:rsidRPr="005670AD">
              <w:rPr>
                <w:sz w:val="22"/>
                <w:szCs w:val="22"/>
              </w:rPr>
              <w:t xml:space="preserve">FE-00012 </w:t>
            </w:r>
          </w:p>
          <w:p w:rsidR="0069566A" w:rsidRPr="005670AD" w:rsidRDefault="0069566A" w:rsidP="00BC00DF">
            <w:pPr>
              <w:pStyle w:val="Default"/>
              <w:jc w:val="center"/>
              <w:rPr>
                <w:sz w:val="22"/>
                <w:szCs w:val="22"/>
              </w:rPr>
            </w:pPr>
          </w:p>
        </w:tc>
        <w:tc>
          <w:tcPr>
            <w:tcW w:w="2161" w:type="dxa"/>
          </w:tcPr>
          <w:p w:rsidR="0069566A" w:rsidRPr="005670AD" w:rsidRDefault="006B0CE4" w:rsidP="00BC00DF">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69566A" w:rsidTr="0069566A">
        <w:tc>
          <w:tcPr>
            <w:tcW w:w="2161" w:type="dxa"/>
          </w:tcPr>
          <w:p w:rsidR="0069566A" w:rsidRPr="005670AD" w:rsidRDefault="006C182B" w:rsidP="00BC00DF">
            <w:pPr>
              <w:jc w:val="center"/>
              <w:rPr>
                <w:sz w:val="22"/>
                <w:szCs w:val="22"/>
                <w:lang w:val="pt-BR"/>
              </w:rPr>
            </w:pPr>
            <w:r w:rsidRPr="005670AD">
              <w:rPr>
                <w:sz w:val="22"/>
                <w:szCs w:val="22"/>
                <w:lang w:val="pt-BR"/>
              </w:rPr>
              <w:t xml:space="preserve">Campo </w:t>
            </w:r>
            <w:proofErr w:type="spellStart"/>
            <w:r w:rsidRPr="005670AD">
              <w:rPr>
                <w:sz w:val="22"/>
                <w:szCs w:val="22"/>
                <w:lang w:val="pt-BR"/>
              </w:rPr>
              <w:t>Outrigger</w:t>
            </w:r>
            <w:proofErr w:type="spellEnd"/>
          </w:p>
        </w:tc>
        <w:tc>
          <w:tcPr>
            <w:tcW w:w="2161" w:type="dxa"/>
          </w:tcPr>
          <w:p w:rsidR="0069566A" w:rsidRPr="005670AD" w:rsidRDefault="0069566A" w:rsidP="00BC00DF">
            <w:pPr>
              <w:jc w:val="center"/>
              <w:rPr>
                <w:sz w:val="22"/>
                <w:szCs w:val="22"/>
                <w:lang w:val="pt-BR"/>
              </w:rPr>
            </w:pPr>
            <w:r w:rsidRPr="005670AD">
              <w:rPr>
                <w:sz w:val="22"/>
                <w:szCs w:val="22"/>
                <w:lang w:val="pt-BR"/>
              </w:rPr>
              <w:t>Desenho genérico do campo</w:t>
            </w:r>
          </w:p>
        </w:tc>
        <w:tc>
          <w:tcPr>
            <w:tcW w:w="2161" w:type="dxa"/>
          </w:tcPr>
          <w:p w:rsidR="0069566A" w:rsidRPr="005670AD" w:rsidRDefault="0069566A" w:rsidP="0069566A">
            <w:pPr>
              <w:pStyle w:val="Default"/>
              <w:jc w:val="center"/>
              <w:rPr>
                <w:sz w:val="22"/>
                <w:szCs w:val="22"/>
              </w:rPr>
            </w:pPr>
            <w:r w:rsidRPr="005670AD">
              <w:rPr>
                <w:sz w:val="22"/>
                <w:szCs w:val="22"/>
              </w:rPr>
              <w:t>FE-00013</w:t>
            </w:r>
          </w:p>
          <w:p w:rsidR="0069566A" w:rsidRPr="005670AD" w:rsidRDefault="0069566A" w:rsidP="00BC00DF">
            <w:pPr>
              <w:pStyle w:val="Default"/>
              <w:jc w:val="center"/>
              <w:rPr>
                <w:sz w:val="22"/>
                <w:szCs w:val="22"/>
              </w:rPr>
            </w:pPr>
          </w:p>
        </w:tc>
        <w:tc>
          <w:tcPr>
            <w:tcW w:w="2161" w:type="dxa"/>
          </w:tcPr>
          <w:p w:rsidR="0069566A" w:rsidRPr="005670AD" w:rsidRDefault="006B0CE4" w:rsidP="00BC00DF">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69566A" w:rsidTr="0069566A">
        <w:tc>
          <w:tcPr>
            <w:tcW w:w="2161" w:type="dxa"/>
          </w:tcPr>
          <w:p w:rsidR="0069566A" w:rsidRPr="005670AD" w:rsidRDefault="006C182B" w:rsidP="00BC00DF">
            <w:pPr>
              <w:jc w:val="center"/>
              <w:rPr>
                <w:sz w:val="22"/>
                <w:szCs w:val="22"/>
                <w:lang w:val="pt-BR"/>
              </w:rPr>
            </w:pPr>
            <w:r w:rsidRPr="005670AD">
              <w:rPr>
                <w:sz w:val="22"/>
                <w:szCs w:val="22"/>
                <w:lang w:val="pt-BR"/>
              </w:rPr>
              <w:t>Rampa de entrada do campo</w:t>
            </w:r>
          </w:p>
        </w:tc>
        <w:tc>
          <w:tcPr>
            <w:tcW w:w="2161" w:type="dxa"/>
          </w:tcPr>
          <w:p w:rsidR="0069566A" w:rsidRPr="005670AD" w:rsidRDefault="0069566A" w:rsidP="00BC00DF">
            <w:pPr>
              <w:jc w:val="center"/>
              <w:rPr>
                <w:sz w:val="22"/>
                <w:szCs w:val="22"/>
                <w:lang w:val="pt-BR"/>
              </w:rPr>
            </w:pPr>
            <w:r w:rsidRPr="005670AD">
              <w:rPr>
                <w:sz w:val="22"/>
                <w:szCs w:val="22"/>
                <w:lang w:val="pt-BR"/>
              </w:rPr>
              <w:t>Desenho genérico do campo</w:t>
            </w:r>
          </w:p>
        </w:tc>
        <w:tc>
          <w:tcPr>
            <w:tcW w:w="2161" w:type="dxa"/>
          </w:tcPr>
          <w:p w:rsidR="0069566A" w:rsidRPr="005670AD" w:rsidRDefault="0069566A" w:rsidP="0069566A">
            <w:pPr>
              <w:pStyle w:val="Default"/>
              <w:jc w:val="center"/>
              <w:rPr>
                <w:sz w:val="22"/>
                <w:szCs w:val="22"/>
              </w:rPr>
            </w:pPr>
            <w:r w:rsidRPr="005670AD">
              <w:rPr>
                <w:sz w:val="22"/>
                <w:szCs w:val="22"/>
              </w:rPr>
              <w:t xml:space="preserve">FE-00014 </w:t>
            </w:r>
          </w:p>
          <w:p w:rsidR="0069566A" w:rsidRPr="005670AD" w:rsidRDefault="0069566A" w:rsidP="00BC00DF">
            <w:pPr>
              <w:pStyle w:val="Default"/>
              <w:jc w:val="center"/>
              <w:rPr>
                <w:sz w:val="22"/>
                <w:szCs w:val="22"/>
              </w:rPr>
            </w:pPr>
          </w:p>
        </w:tc>
        <w:tc>
          <w:tcPr>
            <w:tcW w:w="2161" w:type="dxa"/>
          </w:tcPr>
          <w:p w:rsidR="0069566A" w:rsidRPr="005670AD" w:rsidRDefault="006B0CE4" w:rsidP="00BC00DF">
            <w:pPr>
              <w:jc w:val="center"/>
              <w:rPr>
                <w:sz w:val="22"/>
                <w:szCs w:val="22"/>
                <w:lang w:val="pt-BR"/>
              </w:rPr>
            </w:pPr>
            <w:proofErr w:type="gramStart"/>
            <w:r w:rsidRPr="005670AD">
              <w:rPr>
                <w:sz w:val="22"/>
                <w:szCs w:val="22"/>
                <w:lang w:val="pt-BR"/>
              </w:rPr>
              <w:t>2</w:t>
            </w:r>
            <w:proofErr w:type="gramEnd"/>
            <w:r w:rsidRPr="005670AD">
              <w:rPr>
                <w:sz w:val="22"/>
                <w:szCs w:val="22"/>
                <w:lang w:val="pt-BR"/>
              </w:rPr>
              <w:t xml:space="preserve"> folhas</w:t>
            </w:r>
          </w:p>
        </w:tc>
      </w:tr>
      <w:tr w:rsidR="0069566A" w:rsidTr="0069566A">
        <w:tc>
          <w:tcPr>
            <w:tcW w:w="2161" w:type="dxa"/>
          </w:tcPr>
          <w:p w:rsidR="0069566A" w:rsidRPr="005670AD" w:rsidRDefault="006C182B" w:rsidP="00BC00DF">
            <w:pPr>
              <w:jc w:val="center"/>
              <w:rPr>
                <w:sz w:val="22"/>
                <w:szCs w:val="22"/>
                <w:lang w:val="pt-BR"/>
              </w:rPr>
            </w:pPr>
            <w:r w:rsidRPr="005670AD">
              <w:rPr>
                <w:sz w:val="22"/>
                <w:szCs w:val="22"/>
                <w:lang w:val="pt-BR"/>
              </w:rPr>
              <w:t xml:space="preserve">Field </w:t>
            </w:r>
            <w:proofErr w:type="spellStart"/>
            <w:r w:rsidRPr="005670AD">
              <w:rPr>
                <w:sz w:val="22"/>
                <w:szCs w:val="22"/>
                <w:lang w:val="pt-BR"/>
              </w:rPr>
              <w:t>trip</w:t>
            </w:r>
            <w:proofErr w:type="spellEnd"/>
            <w:r w:rsidRPr="005670AD">
              <w:rPr>
                <w:sz w:val="22"/>
                <w:szCs w:val="22"/>
                <w:lang w:val="pt-BR"/>
              </w:rPr>
              <w:t xml:space="preserve"> </w:t>
            </w:r>
            <w:proofErr w:type="spellStart"/>
            <w:r w:rsidRPr="005670AD">
              <w:rPr>
                <w:sz w:val="22"/>
                <w:szCs w:val="22"/>
                <w:lang w:val="pt-BR"/>
              </w:rPr>
              <w:t>guard</w:t>
            </w:r>
            <w:proofErr w:type="spellEnd"/>
            <w:r w:rsidRPr="005670AD">
              <w:rPr>
                <w:sz w:val="22"/>
                <w:szCs w:val="22"/>
                <w:lang w:val="pt-BR"/>
              </w:rPr>
              <w:t xml:space="preserve"> </w:t>
            </w:r>
          </w:p>
        </w:tc>
        <w:tc>
          <w:tcPr>
            <w:tcW w:w="2161" w:type="dxa"/>
          </w:tcPr>
          <w:p w:rsidR="0069566A" w:rsidRPr="005670AD" w:rsidRDefault="0069566A" w:rsidP="00BC00DF">
            <w:pPr>
              <w:jc w:val="center"/>
              <w:rPr>
                <w:sz w:val="22"/>
                <w:szCs w:val="22"/>
                <w:lang w:val="pt-BR"/>
              </w:rPr>
            </w:pPr>
            <w:r w:rsidRPr="005670AD">
              <w:rPr>
                <w:sz w:val="22"/>
                <w:szCs w:val="22"/>
                <w:lang w:val="pt-BR"/>
              </w:rPr>
              <w:t>Desenho genérico do campo</w:t>
            </w:r>
          </w:p>
        </w:tc>
        <w:tc>
          <w:tcPr>
            <w:tcW w:w="2161" w:type="dxa"/>
          </w:tcPr>
          <w:p w:rsidR="0069566A" w:rsidRPr="005670AD" w:rsidRDefault="0069566A" w:rsidP="0069566A">
            <w:pPr>
              <w:pStyle w:val="Default"/>
              <w:jc w:val="center"/>
              <w:rPr>
                <w:sz w:val="22"/>
                <w:szCs w:val="22"/>
              </w:rPr>
            </w:pPr>
            <w:r w:rsidRPr="005670AD">
              <w:rPr>
                <w:sz w:val="22"/>
                <w:szCs w:val="22"/>
              </w:rPr>
              <w:t>FE-00015</w:t>
            </w:r>
          </w:p>
          <w:p w:rsidR="0069566A" w:rsidRPr="005670AD" w:rsidRDefault="0069566A" w:rsidP="00BC00DF">
            <w:pPr>
              <w:pStyle w:val="Default"/>
              <w:jc w:val="center"/>
              <w:rPr>
                <w:sz w:val="22"/>
                <w:szCs w:val="22"/>
              </w:rPr>
            </w:pPr>
          </w:p>
        </w:tc>
        <w:tc>
          <w:tcPr>
            <w:tcW w:w="2161" w:type="dxa"/>
          </w:tcPr>
          <w:p w:rsidR="0069566A" w:rsidRPr="005670AD" w:rsidRDefault="006B0CE4" w:rsidP="00BC00DF">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69566A" w:rsidTr="0069566A">
        <w:tc>
          <w:tcPr>
            <w:tcW w:w="2161" w:type="dxa"/>
          </w:tcPr>
          <w:p w:rsidR="0069566A" w:rsidRPr="005670AD" w:rsidRDefault="006C182B" w:rsidP="00BC00DF">
            <w:pPr>
              <w:jc w:val="center"/>
              <w:rPr>
                <w:sz w:val="22"/>
                <w:szCs w:val="22"/>
                <w:lang w:val="pt-BR"/>
              </w:rPr>
            </w:pPr>
            <w:r w:rsidRPr="005670AD">
              <w:rPr>
                <w:sz w:val="22"/>
                <w:szCs w:val="22"/>
                <w:lang w:val="pt-BR"/>
              </w:rPr>
              <w:t>Suporte do plástico “G”</w:t>
            </w:r>
          </w:p>
        </w:tc>
        <w:tc>
          <w:tcPr>
            <w:tcW w:w="2161" w:type="dxa"/>
          </w:tcPr>
          <w:p w:rsidR="0069566A" w:rsidRPr="005670AD" w:rsidRDefault="0069566A" w:rsidP="00BC00DF">
            <w:pPr>
              <w:jc w:val="center"/>
              <w:rPr>
                <w:sz w:val="22"/>
                <w:szCs w:val="22"/>
                <w:lang w:val="pt-BR"/>
              </w:rPr>
            </w:pPr>
            <w:r w:rsidRPr="005670AD">
              <w:rPr>
                <w:sz w:val="22"/>
                <w:szCs w:val="22"/>
                <w:lang w:val="pt-BR"/>
              </w:rPr>
              <w:t>Desenho genérico do campo</w:t>
            </w:r>
          </w:p>
        </w:tc>
        <w:tc>
          <w:tcPr>
            <w:tcW w:w="2161" w:type="dxa"/>
          </w:tcPr>
          <w:p w:rsidR="0069566A" w:rsidRPr="005670AD" w:rsidRDefault="0069566A" w:rsidP="0069566A">
            <w:pPr>
              <w:pStyle w:val="Default"/>
              <w:jc w:val="center"/>
              <w:rPr>
                <w:sz w:val="22"/>
                <w:szCs w:val="22"/>
              </w:rPr>
            </w:pPr>
            <w:r w:rsidRPr="005670AD">
              <w:rPr>
                <w:sz w:val="22"/>
                <w:szCs w:val="22"/>
              </w:rPr>
              <w:t xml:space="preserve">FE-00016 </w:t>
            </w:r>
          </w:p>
          <w:p w:rsidR="0069566A" w:rsidRPr="005670AD" w:rsidRDefault="0069566A" w:rsidP="00BC00DF">
            <w:pPr>
              <w:pStyle w:val="Default"/>
              <w:jc w:val="center"/>
              <w:rPr>
                <w:sz w:val="22"/>
                <w:szCs w:val="22"/>
              </w:rPr>
            </w:pPr>
          </w:p>
        </w:tc>
        <w:tc>
          <w:tcPr>
            <w:tcW w:w="2161" w:type="dxa"/>
          </w:tcPr>
          <w:p w:rsidR="0069566A" w:rsidRPr="005670AD" w:rsidRDefault="006B0CE4" w:rsidP="00BC00DF">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69566A" w:rsidTr="0069566A">
        <w:tc>
          <w:tcPr>
            <w:tcW w:w="2161" w:type="dxa"/>
          </w:tcPr>
          <w:p w:rsidR="0069566A" w:rsidRPr="005670AD" w:rsidRDefault="006C182B" w:rsidP="00BC00DF">
            <w:pPr>
              <w:jc w:val="center"/>
              <w:rPr>
                <w:sz w:val="22"/>
                <w:szCs w:val="22"/>
                <w:lang w:val="pt-BR"/>
              </w:rPr>
            </w:pPr>
            <w:r w:rsidRPr="005670AD">
              <w:rPr>
                <w:sz w:val="22"/>
                <w:szCs w:val="22"/>
                <w:lang w:val="pt-BR"/>
              </w:rPr>
              <w:t>Montagem da grade central do campo</w:t>
            </w:r>
            <w:r w:rsidR="007E7B12" w:rsidRPr="005670AD">
              <w:rPr>
                <w:sz w:val="22"/>
                <w:szCs w:val="22"/>
                <w:lang w:val="pt-BR"/>
              </w:rPr>
              <w:t>*</w:t>
            </w:r>
          </w:p>
        </w:tc>
        <w:tc>
          <w:tcPr>
            <w:tcW w:w="2161" w:type="dxa"/>
          </w:tcPr>
          <w:p w:rsidR="0069566A" w:rsidRPr="005670AD" w:rsidRDefault="0069566A" w:rsidP="00BC00DF">
            <w:pPr>
              <w:jc w:val="center"/>
              <w:rPr>
                <w:sz w:val="22"/>
                <w:szCs w:val="22"/>
                <w:lang w:val="pt-BR"/>
              </w:rPr>
            </w:pPr>
            <w:r w:rsidRPr="005670AD">
              <w:rPr>
                <w:sz w:val="22"/>
                <w:szCs w:val="22"/>
                <w:lang w:val="pt-BR"/>
              </w:rPr>
              <w:t>Desenho genérico do campo</w:t>
            </w:r>
          </w:p>
        </w:tc>
        <w:tc>
          <w:tcPr>
            <w:tcW w:w="2161" w:type="dxa"/>
          </w:tcPr>
          <w:p w:rsidR="006B0CE4" w:rsidRPr="005670AD" w:rsidRDefault="006B0CE4" w:rsidP="006B0CE4">
            <w:pPr>
              <w:pStyle w:val="Default"/>
              <w:jc w:val="center"/>
              <w:rPr>
                <w:sz w:val="22"/>
                <w:szCs w:val="22"/>
              </w:rPr>
            </w:pPr>
            <w:r w:rsidRPr="005670AD">
              <w:rPr>
                <w:i/>
                <w:iCs/>
                <w:sz w:val="22"/>
                <w:szCs w:val="22"/>
              </w:rPr>
              <w:t xml:space="preserve">FE-00022* </w:t>
            </w:r>
          </w:p>
          <w:p w:rsidR="0069566A" w:rsidRPr="005670AD" w:rsidRDefault="0069566A" w:rsidP="00BC00DF">
            <w:pPr>
              <w:pStyle w:val="Default"/>
              <w:jc w:val="center"/>
              <w:rPr>
                <w:sz w:val="22"/>
                <w:szCs w:val="22"/>
              </w:rPr>
            </w:pPr>
          </w:p>
        </w:tc>
        <w:tc>
          <w:tcPr>
            <w:tcW w:w="2161" w:type="dxa"/>
          </w:tcPr>
          <w:p w:rsidR="0069566A" w:rsidRPr="005670AD" w:rsidRDefault="006B0CE4" w:rsidP="00BC00DF">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69566A" w:rsidTr="0069566A">
        <w:tc>
          <w:tcPr>
            <w:tcW w:w="2161" w:type="dxa"/>
          </w:tcPr>
          <w:p w:rsidR="0069566A" w:rsidRPr="005670AD" w:rsidRDefault="006C182B" w:rsidP="00BC00DF">
            <w:pPr>
              <w:jc w:val="center"/>
              <w:rPr>
                <w:sz w:val="22"/>
                <w:szCs w:val="22"/>
                <w:lang w:val="pt-BR"/>
              </w:rPr>
            </w:pPr>
            <w:r w:rsidRPr="005670AD">
              <w:rPr>
                <w:sz w:val="22"/>
                <w:szCs w:val="22"/>
                <w:lang w:val="pt-BR"/>
              </w:rPr>
              <w:t>Montagem da grade final do campo</w:t>
            </w:r>
            <w:r w:rsidR="007E7B12" w:rsidRPr="005670AD">
              <w:rPr>
                <w:sz w:val="22"/>
                <w:szCs w:val="22"/>
                <w:lang w:val="pt-BR"/>
              </w:rPr>
              <w:t>*</w:t>
            </w:r>
          </w:p>
        </w:tc>
        <w:tc>
          <w:tcPr>
            <w:tcW w:w="2161" w:type="dxa"/>
          </w:tcPr>
          <w:p w:rsidR="0069566A" w:rsidRPr="005670AD" w:rsidRDefault="0069566A" w:rsidP="00BC00DF">
            <w:pPr>
              <w:jc w:val="center"/>
              <w:rPr>
                <w:sz w:val="22"/>
                <w:szCs w:val="22"/>
                <w:lang w:val="pt-BR"/>
              </w:rPr>
            </w:pPr>
            <w:r w:rsidRPr="005670AD">
              <w:rPr>
                <w:sz w:val="22"/>
                <w:szCs w:val="22"/>
                <w:lang w:val="pt-BR"/>
              </w:rPr>
              <w:t xml:space="preserve">Desenho genérico </w:t>
            </w:r>
            <w:proofErr w:type="spellStart"/>
            <w:r w:rsidR="006C182B" w:rsidRPr="005670AD">
              <w:rPr>
                <w:sz w:val="22"/>
                <w:szCs w:val="22"/>
                <w:lang w:val="pt-BR"/>
              </w:rPr>
              <w:t>a</w:t>
            </w:r>
            <w:r w:rsidRPr="005670AD">
              <w:rPr>
                <w:sz w:val="22"/>
                <w:szCs w:val="22"/>
                <w:lang w:val="pt-BR"/>
              </w:rPr>
              <w:t>do</w:t>
            </w:r>
            <w:proofErr w:type="spellEnd"/>
            <w:r w:rsidRPr="005670AD">
              <w:rPr>
                <w:sz w:val="22"/>
                <w:szCs w:val="22"/>
                <w:lang w:val="pt-BR"/>
              </w:rPr>
              <w:t xml:space="preserve"> campo</w:t>
            </w:r>
          </w:p>
        </w:tc>
        <w:tc>
          <w:tcPr>
            <w:tcW w:w="2161" w:type="dxa"/>
          </w:tcPr>
          <w:p w:rsidR="006B0CE4" w:rsidRPr="005670AD" w:rsidRDefault="006B0CE4" w:rsidP="006B0CE4">
            <w:pPr>
              <w:pStyle w:val="Default"/>
              <w:jc w:val="center"/>
              <w:rPr>
                <w:sz w:val="22"/>
                <w:szCs w:val="22"/>
              </w:rPr>
            </w:pPr>
            <w:r w:rsidRPr="005670AD">
              <w:rPr>
                <w:i/>
                <w:iCs/>
                <w:sz w:val="22"/>
                <w:szCs w:val="22"/>
              </w:rPr>
              <w:t xml:space="preserve">FE-00023* </w:t>
            </w:r>
          </w:p>
          <w:p w:rsidR="0069566A" w:rsidRPr="005670AD" w:rsidRDefault="0069566A" w:rsidP="00BC00DF">
            <w:pPr>
              <w:pStyle w:val="Default"/>
              <w:jc w:val="center"/>
              <w:rPr>
                <w:sz w:val="22"/>
                <w:szCs w:val="22"/>
              </w:rPr>
            </w:pPr>
          </w:p>
        </w:tc>
        <w:tc>
          <w:tcPr>
            <w:tcW w:w="2161" w:type="dxa"/>
          </w:tcPr>
          <w:p w:rsidR="0069566A" w:rsidRPr="005670AD" w:rsidRDefault="006B0CE4" w:rsidP="00BC00DF">
            <w:pPr>
              <w:jc w:val="center"/>
              <w:rPr>
                <w:sz w:val="22"/>
                <w:szCs w:val="22"/>
                <w:lang w:val="pt-BR"/>
              </w:rPr>
            </w:pPr>
            <w:proofErr w:type="gramStart"/>
            <w:r w:rsidRPr="005670AD">
              <w:rPr>
                <w:sz w:val="22"/>
                <w:szCs w:val="22"/>
                <w:lang w:val="pt-BR"/>
              </w:rPr>
              <w:t>1</w:t>
            </w:r>
            <w:proofErr w:type="gramEnd"/>
            <w:r w:rsidRPr="005670AD">
              <w:rPr>
                <w:sz w:val="22"/>
                <w:szCs w:val="22"/>
                <w:lang w:val="pt-BR"/>
              </w:rPr>
              <w:t xml:space="preserve"> folha</w:t>
            </w:r>
          </w:p>
        </w:tc>
      </w:tr>
      <w:tr w:rsidR="0069566A" w:rsidTr="0069566A">
        <w:tc>
          <w:tcPr>
            <w:tcW w:w="2161" w:type="dxa"/>
          </w:tcPr>
          <w:p w:rsidR="0069566A" w:rsidRPr="005670AD" w:rsidRDefault="006C182B" w:rsidP="00BC00DF">
            <w:pPr>
              <w:jc w:val="center"/>
              <w:rPr>
                <w:sz w:val="22"/>
                <w:szCs w:val="22"/>
                <w:lang w:val="pt-BR"/>
              </w:rPr>
            </w:pPr>
            <w:r w:rsidRPr="005670AD">
              <w:rPr>
                <w:sz w:val="22"/>
                <w:szCs w:val="22"/>
                <w:lang w:val="pt-BR"/>
              </w:rPr>
              <w:t>Montagem da grade do portão do campo</w:t>
            </w:r>
            <w:r w:rsidR="007E7B12" w:rsidRPr="005670AD">
              <w:rPr>
                <w:sz w:val="22"/>
                <w:szCs w:val="22"/>
                <w:lang w:val="pt-BR"/>
              </w:rPr>
              <w:t xml:space="preserve"> *</w:t>
            </w:r>
          </w:p>
        </w:tc>
        <w:tc>
          <w:tcPr>
            <w:tcW w:w="2161" w:type="dxa"/>
          </w:tcPr>
          <w:p w:rsidR="0069566A" w:rsidRPr="005670AD" w:rsidRDefault="0069566A" w:rsidP="00BC00DF">
            <w:pPr>
              <w:jc w:val="center"/>
              <w:rPr>
                <w:sz w:val="22"/>
                <w:szCs w:val="22"/>
                <w:lang w:val="pt-BR"/>
              </w:rPr>
            </w:pPr>
            <w:r w:rsidRPr="005670AD">
              <w:rPr>
                <w:sz w:val="22"/>
                <w:szCs w:val="22"/>
                <w:lang w:val="pt-BR"/>
              </w:rPr>
              <w:t>Desenho genérico do campo</w:t>
            </w:r>
          </w:p>
        </w:tc>
        <w:tc>
          <w:tcPr>
            <w:tcW w:w="2161" w:type="dxa"/>
          </w:tcPr>
          <w:p w:rsidR="006B0CE4" w:rsidRPr="005670AD" w:rsidRDefault="006B0CE4" w:rsidP="006B0CE4">
            <w:pPr>
              <w:pStyle w:val="Default"/>
              <w:jc w:val="center"/>
              <w:rPr>
                <w:sz w:val="22"/>
                <w:szCs w:val="22"/>
              </w:rPr>
            </w:pPr>
            <w:r w:rsidRPr="005670AD">
              <w:rPr>
                <w:i/>
                <w:iCs/>
                <w:sz w:val="22"/>
                <w:szCs w:val="22"/>
              </w:rPr>
              <w:t xml:space="preserve">FE-00029* </w:t>
            </w:r>
          </w:p>
          <w:p w:rsidR="0069566A" w:rsidRPr="005670AD" w:rsidRDefault="0069566A" w:rsidP="00BC00DF">
            <w:pPr>
              <w:pStyle w:val="Default"/>
              <w:jc w:val="center"/>
              <w:rPr>
                <w:sz w:val="22"/>
                <w:szCs w:val="22"/>
              </w:rPr>
            </w:pPr>
          </w:p>
        </w:tc>
        <w:tc>
          <w:tcPr>
            <w:tcW w:w="2161" w:type="dxa"/>
          </w:tcPr>
          <w:p w:rsidR="0069566A" w:rsidRPr="00FA6ADB" w:rsidRDefault="006B0CE4" w:rsidP="00FA6ADB">
            <w:pPr>
              <w:pStyle w:val="PargrafodaLista"/>
              <w:numPr>
                <w:ilvl w:val="0"/>
                <w:numId w:val="4"/>
              </w:numPr>
              <w:jc w:val="center"/>
              <w:rPr>
                <w:sz w:val="22"/>
                <w:szCs w:val="22"/>
                <w:lang w:val="pt-BR"/>
              </w:rPr>
            </w:pPr>
            <w:proofErr w:type="gramStart"/>
            <w:r w:rsidRPr="00FA6ADB">
              <w:rPr>
                <w:sz w:val="22"/>
                <w:szCs w:val="22"/>
                <w:lang w:val="pt-BR"/>
              </w:rPr>
              <w:t>folha</w:t>
            </w:r>
            <w:proofErr w:type="gramEnd"/>
          </w:p>
        </w:tc>
      </w:tr>
    </w:tbl>
    <w:p w:rsidR="00D45558" w:rsidRDefault="00FA6ADB" w:rsidP="00FA6ADB">
      <w:pPr>
        <w:rPr>
          <w:lang w:val="pt-BR"/>
        </w:rPr>
      </w:pPr>
      <w:r>
        <w:rPr>
          <w:lang w:val="pt-BR"/>
        </w:rPr>
        <w:t>*</w:t>
      </w:r>
      <w:r w:rsidRPr="00FA6ADB">
        <w:rPr>
          <w:lang w:val="pt-BR"/>
        </w:rPr>
        <w:t xml:space="preserve">Referencia aos desenhos para todas as partes dos números requeridas para montagem da construção. </w:t>
      </w:r>
    </w:p>
    <w:p w:rsidR="00D45558" w:rsidRDefault="00F02413" w:rsidP="00F02413">
      <w:pPr>
        <w:rPr>
          <w:lang w:val="pt-BR"/>
        </w:rPr>
      </w:pPr>
      <w:r>
        <w:rPr>
          <w:lang w:val="pt-BR"/>
        </w:rPr>
        <w:t>As ARENAS da competição são construções modulares que são montadas, utilizadas, desmontadas e transportadas diversas vezes durante a competição.</w:t>
      </w:r>
      <w:r w:rsidR="00436951">
        <w:rPr>
          <w:lang w:val="pt-BR"/>
        </w:rPr>
        <w:t xml:space="preserve"> Elas são sujeitas a uma quantidade significativa de desgaste e umidade. A ARENA</w:t>
      </w:r>
      <w:proofErr w:type="gramStart"/>
      <w:r w:rsidR="00436951">
        <w:rPr>
          <w:lang w:val="pt-BR"/>
        </w:rPr>
        <w:t xml:space="preserve">  </w:t>
      </w:r>
      <w:proofErr w:type="gramEnd"/>
      <w:r w:rsidR="00436951">
        <w:rPr>
          <w:lang w:val="pt-BR"/>
        </w:rPr>
        <w:t xml:space="preserve">é desenhada para </w:t>
      </w:r>
      <w:r w:rsidR="00436951">
        <w:rPr>
          <w:lang w:val="pt-BR"/>
        </w:rPr>
        <w:lastRenderedPageBreak/>
        <w:t>suportar transporte e jogos freqüentes e todo esforço possível é feito para garantir que as ARENAS sejam iguais  em todos os jogos .</w:t>
      </w:r>
    </w:p>
    <w:p w:rsidR="00436951" w:rsidRPr="00436951" w:rsidRDefault="00436951" w:rsidP="00F02413">
      <w:pPr>
        <w:rPr>
          <w:lang w:val="pt-BR"/>
        </w:rPr>
      </w:pPr>
      <w:r>
        <w:rPr>
          <w:lang w:val="pt-BR"/>
        </w:rPr>
        <w:t xml:space="preserve">Entretanto, as ARENAS são montadas de formas diferentes por diferentes equipes e pequenas variações podem ocorrer. A tolerância de encaixe de grandes estruturas </w:t>
      </w:r>
      <w:proofErr w:type="gramStart"/>
      <w:r>
        <w:rPr>
          <w:lang w:val="pt-BR"/>
        </w:rPr>
        <w:t xml:space="preserve">( </w:t>
      </w:r>
      <w:proofErr w:type="gramEnd"/>
      <w:r>
        <w:rPr>
          <w:lang w:val="pt-BR"/>
        </w:rPr>
        <w:t>ex.: TORRE) é assegurada apenas por ¼ de polegada.Dimensões gerais do campo podem variar até 4 polegad</w:t>
      </w:r>
      <w:r w:rsidRPr="000F67A0">
        <w:rPr>
          <w:lang w:val="pt-BR"/>
        </w:rPr>
        <w:t>as .</w:t>
      </w:r>
      <w:r w:rsidRPr="000F67A0">
        <w:rPr>
          <w:rStyle w:val="hps"/>
          <w:color w:val="000000"/>
          <w:lang w:val="pt-BR"/>
        </w:rPr>
        <w:t>EQUIPES</w:t>
      </w:r>
      <w:r w:rsidRPr="000F67A0">
        <w:rPr>
          <w:rStyle w:val="apple-converted-space"/>
          <w:color w:val="000000"/>
          <w:lang w:val="pt-BR"/>
        </w:rPr>
        <w:t xml:space="preserve">  de </w:t>
      </w:r>
      <w:r w:rsidRPr="000F67A0">
        <w:rPr>
          <w:rStyle w:val="hps"/>
          <w:color w:val="000000"/>
          <w:lang w:val="pt-BR"/>
        </w:rPr>
        <w:t>sucesso irão desenvolver robôs</w:t>
      </w:r>
      <w:r w:rsidRPr="000F67A0">
        <w:rPr>
          <w:rStyle w:val="apple-converted-space"/>
          <w:color w:val="000000"/>
          <w:lang w:val="pt-BR"/>
        </w:rPr>
        <w:t> </w:t>
      </w:r>
      <w:r w:rsidRPr="000F67A0">
        <w:rPr>
          <w:rStyle w:val="hps"/>
          <w:color w:val="000000"/>
          <w:lang w:val="pt-BR"/>
        </w:rPr>
        <w:t>que são</w:t>
      </w:r>
      <w:r w:rsidRPr="000F67A0">
        <w:rPr>
          <w:rStyle w:val="apple-converted-space"/>
          <w:color w:val="000000"/>
          <w:lang w:val="pt-BR"/>
        </w:rPr>
        <w:t> </w:t>
      </w:r>
      <w:r w:rsidRPr="000F67A0">
        <w:rPr>
          <w:rStyle w:val="hps"/>
          <w:color w:val="000000"/>
          <w:lang w:val="pt-BR"/>
        </w:rPr>
        <w:t>in</w:t>
      </w:r>
      <w:r w:rsidR="000F67A0" w:rsidRPr="000F67A0">
        <w:rPr>
          <w:rStyle w:val="hps"/>
          <w:color w:val="000000"/>
          <w:lang w:val="pt-BR"/>
        </w:rPr>
        <w:t xml:space="preserve">tolerantes </w:t>
      </w:r>
      <w:r w:rsidRPr="000F67A0">
        <w:rPr>
          <w:rStyle w:val="hps"/>
          <w:color w:val="000000"/>
          <w:lang w:val="pt-BR"/>
        </w:rPr>
        <w:t>a estas</w:t>
      </w:r>
      <w:r w:rsidRPr="000F67A0">
        <w:rPr>
          <w:rStyle w:val="apple-converted-space"/>
          <w:color w:val="000000"/>
          <w:lang w:val="pt-BR"/>
        </w:rPr>
        <w:t> </w:t>
      </w:r>
      <w:r w:rsidRPr="000F67A0">
        <w:rPr>
          <w:rStyle w:val="hps"/>
          <w:color w:val="000000"/>
          <w:lang w:val="pt-BR"/>
        </w:rPr>
        <w:t>variações.</w:t>
      </w:r>
    </w:p>
    <w:p w:rsidR="00D45558" w:rsidRPr="00D45558" w:rsidRDefault="00D45558" w:rsidP="00865ED1">
      <w:pPr>
        <w:jc w:val="center"/>
        <w:rPr>
          <w:b/>
          <w:lang w:val="pt-BR"/>
        </w:rPr>
      </w:pPr>
    </w:p>
    <w:p w:rsidR="00D45558" w:rsidRPr="00DF42FD" w:rsidRDefault="00D45558" w:rsidP="00865ED1">
      <w:pPr>
        <w:jc w:val="center"/>
        <w:rPr>
          <w:lang w:val="pt-BR"/>
        </w:rPr>
      </w:pPr>
    </w:p>
    <w:sectPr w:rsidR="00D45558" w:rsidRPr="00DF42FD" w:rsidSect="000A29DC">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6B37" w:rsidRDefault="00EE6B37" w:rsidP="00D45558">
      <w:pPr>
        <w:spacing w:line="240" w:lineRule="auto"/>
      </w:pPr>
      <w:r>
        <w:separator/>
      </w:r>
    </w:p>
  </w:endnote>
  <w:endnote w:type="continuationSeparator" w:id="0">
    <w:p w:rsidR="00EE6B37" w:rsidRDefault="00EE6B37" w:rsidP="00D4555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6B37" w:rsidRDefault="00EE6B37" w:rsidP="00D45558">
      <w:pPr>
        <w:spacing w:line="240" w:lineRule="auto"/>
      </w:pPr>
      <w:r>
        <w:separator/>
      </w:r>
    </w:p>
  </w:footnote>
  <w:footnote w:type="continuationSeparator" w:id="0">
    <w:p w:rsidR="00EE6B37" w:rsidRDefault="00EE6B37" w:rsidP="00D45558">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1663A"/>
    <w:multiLevelType w:val="hybridMultilevel"/>
    <w:tmpl w:val="8286B0D8"/>
    <w:lvl w:ilvl="0" w:tplc="B1D4A55E">
      <w:start w:val="1"/>
      <w:numFmt w:val="bullet"/>
      <w:lvlText w:val=""/>
      <w:lvlJc w:val="left"/>
      <w:pPr>
        <w:ind w:left="720" w:hanging="360"/>
      </w:pPr>
      <w:rPr>
        <w:rFonts w:ascii="Symbol" w:eastAsia="Calibr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26C63D63"/>
    <w:multiLevelType w:val="hybridMultilevel"/>
    <w:tmpl w:val="7146E914"/>
    <w:lvl w:ilvl="0" w:tplc="687022D4">
      <w:start w:val="1"/>
      <w:numFmt w:val="bullet"/>
      <w:lvlText w:val=""/>
      <w:lvlJc w:val="left"/>
      <w:pPr>
        <w:ind w:left="720" w:hanging="360"/>
      </w:pPr>
      <w:rPr>
        <w:rFonts w:ascii="Symbol" w:eastAsia="Calibr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1967B97"/>
    <w:multiLevelType w:val="hybridMultilevel"/>
    <w:tmpl w:val="6B088332"/>
    <w:lvl w:ilvl="0" w:tplc="663207A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7C620C7C"/>
    <w:multiLevelType w:val="hybridMultilevel"/>
    <w:tmpl w:val="3F147388"/>
    <w:lvl w:ilvl="0" w:tplc="3F7C0C18">
      <w:start w:val="1"/>
      <w:numFmt w:val="bullet"/>
      <w:lvlText w:val=""/>
      <w:lvlJc w:val="left"/>
      <w:pPr>
        <w:ind w:left="1080" w:hanging="360"/>
      </w:pPr>
      <w:rPr>
        <w:rFonts w:ascii="Symbol" w:eastAsia="Calibri" w:hAnsi="Symbol" w:cs="Times New Roman"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proofState w:spelling="clean" w:grammar="clean"/>
  <w:defaultTabStop w:val="708"/>
  <w:hyphenationZone w:val="425"/>
  <w:characterSpacingControl w:val="doNotCompress"/>
  <w:footnotePr>
    <w:footnote w:id="-1"/>
    <w:footnote w:id="0"/>
  </w:footnotePr>
  <w:endnotePr>
    <w:endnote w:id="-1"/>
    <w:endnote w:id="0"/>
  </w:endnotePr>
  <w:compat/>
  <w:rsids>
    <w:rsidRoot w:val="005A2882"/>
    <w:rsid w:val="00053222"/>
    <w:rsid w:val="000A29DC"/>
    <w:rsid w:val="000F67A0"/>
    <w:rsid w:val="0019551F"/>
    <w:rsid w:val="002D51F8"/>
    <w:rsid w:val="00436951"/>
    <w:rsid w:val="005670AD"/>
    <w:rsid w:val="005A2882"/>
    <w:rsid w:val="0069566A"/>
    <w:rsid w:val="006B0CE4"/>
    <w:rsid w:val="006C182B"/>
    <w:rsid w:val="007D7AA7"/>
    <w:rsid w:val="007E7B12"/>
    <w:rsid w:val="00865ED1"/>
    <w:rsid w:val="00961EA2"/>
    <w:rsid w:val="00A86C58"/>
    <w:rsid w:val="00BB3A95"/>
    <w:rsid w:val="00CB78EB"/>
    <w:rsid w:val="00D45558"/>
    <w:rsid w:val="00DF42FD"/>
    <w:rsid w:val="00EE6B37"/>
    <w:rsid w:val="00F02413"/>
    <w:rsid w:val="00FA6ADB"/>
    <w:rsid w:val="00FB1EE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8EB"/>
    <w:pPr>
      <w:spacing w:line="360" w:lineRule="auto"/>
    </w:pPr>
    <w:rPr>
      <w:rFonts w:ascii="Times New Roman" w:hAnsi="Times New Roman"/>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F42FD"/>
    <w:rPr>
      <w:color w:val="0000FF" w:themeColor="hyperlink"/>
      <w:u w:val="single"/>
    </w:rPr>
  </w:style>
  <w:style w:type="paragraph" w:styleId="Cabealho">
    <w:name w:val="header"/>
    <w:basedOn w:val="Normal"/>
    <w:link w:val="CabealhoChar"/>
    <w:uiPriority w:val="99"/>
    <w:semiHidden/>
    <w:unhideWhenUsed/>
    <w:rsid w:val="00D45558"/>
    <w:pPr>
      <w:tabs>
        <w:tab w:val="center" w:pos="4252"/>
        <w:tab w:val="right" w:pos="8504"/>
      </w:tabs>
      <w:spacing w:line="240" w:lineRule="auto"/>
    </w:pPr>
  </w:style>
  <w:style w:type="character" w:customStyle="1" w:styleId="CabealhoChar">
    <w:name w:val="Cabeçalho Char"/>
    <w:basedOn w:val="Fontepargpadro"/>
    <w:link w:val="Cabealho"/>
    <w:uiPriority w:val="99"/>
    <w:semiHidden/>
    <w:rsid w:val="00D45558"/>
    <w:rPr>
      <w:rFonts w:ascii="Times New Roman" w:hAnsi="Times New Roman"/>
      <w:sz w:val="24"/>
      <w:szCs w:val="24"/>
      <w:lang w:val="en-US" w:eastAsia="en-US"/>
    </w:rPr>
  </w:style>
  <w:style w:type="paragraph" w:styleId="Rodap">
    <w:name w:val="footer"/>
    <w:basedOn w:val="Normal"/>
    <w:link w:val="RodapChar"/>
    <w:uiPriority w:val="99"/>
    <w:semiHidden/>
    <w:unhideWhenUsed/>
    <w:rsid w:val="00D45558"/>
    <w:pPr>
      <w:tabs>
        <w:tab w:val="center" w:pos="4252"/>
        <w:tab w:val="right" w:pos="8504"/>
      </w:tabs>
      <w:spacing w:line="240" w:lineRule="auto"/>
    </w:pPr>
  </w:style>
  <w:style w:type="character" w:customStyle="1" w:styleId="RodapChar">
    <w:name w:val="Rodapé Char"/>
    <w:basedOn w:val="Fontepargpadro"/>
    <w:link w:val="Rodap"/>
    <w:uiPriority w:val="99"/>
    <w:semiHidden/>
    <w:rsid w:val="00D45558"/>
    <w:rPr>
      <w:rFonts w:ascii="Times New Roman" w:hAnsi="Times New Roman"/>
      <w:sz w:val="24"/>
      <w:szCs w:val="24"/>
      <w:lang w:val="en-US" w:eastAsia="en-US"/>
    </w:rPr>
  </w:style>
  <w:style w:type="table" w:styleId="Tabelacomgrade">
    <w:name w:val="Table Grid"/>
    <w:basedOn w:val="Tabelanormal"/>
    <w:uiPriority w:val="59"/>
    <w:rsid w:val="00D455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865ED1"/>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FA6ADB"/>
    <w:pPr>
      <w:ind w:left="720"/>
      <w:contextualSpacing/>
    </w:pPr>
  </w:style>
  <w:style w:type="character" w:customStyle="1" w:styleId="hps">
    <w:name w:val="hps"/>
    <w:basedOn w:val="Fontepargpadro"/>
    <w:rsid w:val="00436951"/>
  </w:style>
  <w:style w:type="character" w:customStyle="1" w:styleId="apple-converted-space">
    <w:name w:val="apple-converted-space"/>
    <w:basedOn w:val="Fontepargpadro"/>
    <w:rsid w:val="0043695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sfirst.org/frc/2011/officialdrawing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usfirst.org/frc/2011/teamdrawings.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CE62B8-AC5F-4C5D-B556-2DFAA80DC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743</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Natii</dc:creator>
  <cp:lastModifiedBy>Natii</cp:lastModifiedBy>
  <cp:revision>41</cp:revision>
  <dcterms:created xsi:type="dcterms:W3CDTF">2011-01-08T20:36:00Z</dcterms:created>
  <dcterms:modified xsi:type="dcterms:W3CDTF">2011-01-08T22:40:00Z</dcterms:modified>
</cp:coreProperties>
</file>