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CB671" w14:textId="22DBE878" w:rsidR="00723307" w:rsidRPr="000F2C30" w:rsidRDefault="000F2C30">
      <w:pPr>
        <w:rPr>
          <w:rFonts w:ascii="Arial Narrow" w:hAnsi="Arial Narrow"/>
          <w:sz w:val="20"/>
          <w:szCs w:val="20"/>
        </w:rPr>
      </w:pPr>
      <w:r w:rsidRPr="000F2C30">
        <w:rPr>
          <w:rFonts w:ascii="Arial Narrow" w:hAnsi="Arial Narrow"/>
          <w:sz w:val="20"/>
          <w:szCs w:val="20"/>
        </w:rPr>
        <w:t>Introduction</w:t>
      </w:r>
    </w:p>
    <w:p w14:paraId="1826D1D8" w14:textId="4FD67E55" w:rsidR="000F2C30" w:rsidRDefault="000F2C30">
      <w:pPr>
        <w:rPr>
          <w:rFonts w:ascii="Arial Narrow" w:hAnsi="Arial Narrow"/>
          <w:sz w:val="20"/>
          <w:szCs w:val="20"/>
        </w:rPr>
      </w:pPr>
      <w:r w:rsidRPr="000F2C30">
        <w:rPr>
          <w:rFonts w:ascii="Arial Narrow" w:hAnsi="Arial Narrow"/>
          <w:sz w:val="20"/>
          <w:szCs w:val="20"/>
        </w:rPr>
        <w:t xml:space="preserve">Protecting Personally Identifiably Information (PII) in education datasets is critical for safeguarding student and educator privacy, maintaining institutional trust, and complying with global privacy regulations. Educational technologies collect vast amounts of sensitive data including names, contact details, academic performance metrics, and behavioral patterns, which – if exposed – could lead to identity theft, discrimination, or unauthorized surveillance. </w:t>
      </w:r>
    </w:p>
    <w:p w14:paraId="4CEA47B9" w14:textId="32485989" w:rsidR="000F2C30" w:rsidRDefault="000F2C30">
      <w:pPr>
        <w:rPr>
          <w:rFonts w:ascii="Arial Narrow" w:hAnsi="Arial Narrow"/>
          <w:sz w:val="20"/>
          <w:szCs w:val="20"/>
        </w:rPr>
      </w:pPr>
      <w:r>
        <w:rPr>
          <w:rFonts w:ascii="Arial Narrow" w:hAnsi="Arial Narrow"/>
          <w:sz w:val="20"/>
          <w:szCs w:val="20"/>
        </w:rPr>
        <w:t xml:space="preserve">Ethical Considerations </w:t>
      </w:r>
    </w:p>
    <w:p w14:paraId="35B1B5E8" w14:textId="537CDF1D" w:rsidR="000F2C30" w:rsidRDefault="000F2C30" w:rsidP="000F2C30">
      <w:pPr>
        <w:pStyle w:val="ListParagraph"/>
        <w:numPr>
          <w:ilvl w:val="0"/>
          <w:numId w:val="1"/>
        </w:numPr>
        <w:rPr>
          <w:rFonts w:ascii="Arial Narrow" w:hAnsi="Arial Narrow"/>
          <w:sz w:val="20"/>
          <w:szCs w:val="20"/>
        </w:rPr>
      </w:pPr>
      <w:r w:rsidRPr="0068285C">
        <w:rPr>
          <w:rFonts w:ascii="Arial Narrow" w:hAnsi="Arial Narrow"/>
          <w:b/>
          <w:bCs/>
          <w:sz w:val="20"/>
          <w:szCs w:val="20"/>
        </w:rPr>
        <w:t>Minimizing harm:</w:t>
      </w:r>
      <w:r>
        <w:rPr>
          <w:rFonts w:ascii="Arial Narrow" w:hAnsi="Arial Narrow"/>
          <w:sz w:val="20"/>
          <w:szCs w:val="20"/>
        </w:rPr>
        <w:t xml:space="preserve"> Undetected PII in educational datasets risks re-identification through context-aware attacks, even after anonymization. For instance, leaked email pa</w:t>
      </w:r>
      <w:r w:rsidR="0068285C">
        <w:rPr>
          <w:rFonts w:ascii="Arial Narrow" w:hAnsi="Arial Narrow"/>
          <w:sz w:val="20"/>
          <w:szCs w:val="20"/>
        </w:rPr>
        <w:t>tterns or behavioral data could reveal sensitive attributes like learning disabilities or socioeconomic status.</w:t>
      </w:r>
    </w:p>
    <w:p w14:paraId="1FB0504E" w14:textId="72573E04" w:rsidR="0068285C" w:rsidRDefault="0068285C" w:rsidP="000F2C30">
      <w:pPr>
        <w:pStyle w:val="ListParagraph"/>
        <w:numPr>
          <w:ilvl w:val="0"/>
          <w:numId w:val="1"/>
        </w:numPr>
        <w:rPr>
          <w:rFonts w:ascii="Arial Narrow" w:hAnsi="Arial Narrow"/>
          <w:sz w:val="20"/>
          <w:szCs w:val="20"/>
        </w:rPr>
      </w:pPr>
      <w:r w:rsidRPr="0068285C">
        <w:rPr>
          <w:rFonts w:ascii="Arial Narrow" w:hAnsi="Arial Narrow"/>
          <w:b/>
          <w:bCs/>
          <w:sz w:val="20"/>
          <w:szCs w:val="20"/>
        </w:rPr>
        <w:t>Transparency and consent:</w:t>
      </w:r>
      <w:r>
        <w:rPr>
          <w:rFonts w:ascii="Arial Narrow" w:hAnsi="Arial Narrow"/>
          <w:sz w:val="20"/>
          <w:szCs w:val="20"/>
        </w:rPr>
        <w:t xml:space="preserve"> Many students and parents remain unaware of what data is collected or how third-party vendors use it, violating principles of informed consent</w:t>
      </w:r>
    </w:p>
    <w:p w14:paraId="6465C989" w14:textId="58BAE1FF" w:rsidR="0068285C" w:rsidRDefault="0068285C" w:rsidP="0068285C">
      <w:pPr>
        <w:rPr>
          <w:rFonts w:ascii="Arial Narrow" w:hAnsi="Arial Narrow"/>
          <w:b/>
          <w:bCs/>
          <w:sz w:val="20"/>
          <w:szCs w:val="20"/>
        </w:rPr>
      </w:pPr>
      <w:r>
        <w:rPr>
          <w:rFonts w:ascii="Arial Narrow" w:hAnsi="Arial Narrow"/>
          <w:b/>
          <w:bCs/>
          <w:sz w:val="20"/>
          <w:szCs w:val="20"/>
        </w:rPr>
        <w:t>Technical and Operational Challenges</w:t>
      </w:r>
    </w:p>
    <w:p w14:paraId="38D4C550" w14:textId="2D118699" w:rsidR="00996396" w:rsidRPr="00996396" w:rsidRDefault="00996396" w:rsidP="0068285C">
      <w:pPr>
        <w:rPr>
          <w:rFonts w:ascii="Arial Narrow" w:hAnsi="Arial Narrow"/>
          <w:sz w:val="20"/>
          <w:szCs w:val="20"/>
        </w:rPr>
      </w:pPr>
      <w:r w:rsidRPr="00996396">
        <w:rPr>
          <w:rFonts w:ascii="Arial Narrow" w:hAnsi="Arial Narrow"/>
          <w:sz w:val="20"/>
          <w:szCs w:val="20"/>
        </w:rPr>
        <w:t xml:space="preserve">Some of the challenges </w:t>
      </w:r>
      <w:r>
        <w:rPr>
          <w:rFonts w:ascii="Arial Narrow" w:hAnsi="Arial Narrow"/>
          <w:sz w:val="20"/>
          <w:szCs w:val="20"/>
        </w:rPr>
        <w:t>include the following:</w:t>
      </w:r>
    </w:p>
    <w:p w14:paraId="07AFEFCD" w14:textId="3DAD7626" w:rsidR="00193783" w:rsidRPr="00996396" w:rsidRDefault="00193783" w:rsidP="00996396">
      <w:pPr>
        <w:pStyle w:val="ListParagraph"/>
        <w:numPr>
          <w:ilvl w:val="0"/>
          <w:numId w:val="2"/>
        </w:numPr>
        <w:rPr>
          <w:rFonts w:ascii="Arial Narrow" w:hAnsi="Arial Narrow"/>
          <w:sz w:val="20"/>
          <w:szCs w:val="20"/>
        </w:rPr>
      </w:pPr>
      <w:r>
        <w:rPr>
          <w:rFonts w:ascii="Arial Narrow" w:hAnsi="Arial Narrow"/>
          <w:sz w:val="20"/>
          <w:szCs w:val="20"/>
        </w:rPr>
        <w:t>Rule-based systems struggle with adaptive PII variants like creatively spelled emails; whereas AI models like GPT 4o increase accuracy and reduces computational costs when compared to other tools like Azure AI language. However, there are cost trade-offs with this approach</w:t>
      </w:r>
    </w:p>
    <w:p w14:paraId="2D8F19DB" w14:textId="777CBEC8" w:rsidR="0068285C" w:rsidRDefault="0068285C" w:rsidP="0068285C">
      <w:pPr>
        <w:pStyle w:val="ListParagraph"/>
        <w:numPr>
          <w:ilvl w:val="0"/>
          <w:numId w:val="2"/>
        </w:numPr>
        <w:rPr>
          <w:rFonts w:ascii="Arial Narrow" w:hAnsi="Arial Narrow"/>
          <w:sz w:val="20"/>
          <w:szCs w:val="20"/>
        </w:rPr>
      </w:pPr>
      <w:r>
        <w:rPr>
          <w:rFonts w:ascii="Arial Narrow" w:hAnsi="Arial Narrow"/>
          <w:sz w:val="20"/>
          <w:szCs w:val="20"/>
        </w:rPr>
        <w:t xml:space="preserve">There are many </w:t>
      </w:r>
      <w:r w:rsidRPr="0068285C">
        <w:rPr>
          <w:rFonts w:ascii="Arial Narrow" w:hAnsi="Arial Narrow"/>
          <w:sz w:val="20"/>
          <w:szCs w:val="20"/>
        </w:rPr>
        <w:t xml:space="preserve">false </w:t>
      </w:r>
      <w:r>
        <w:rPr>
          <w:rFonts w:ascii="Arial Narrow" w:hAnsi="Arial Narrow"/>
          <w:sz w:val="20"/>
          <w:szCs w:val="20"/>
        </w:rPr>
        <w:t>positives that disrupt educational context, for instance the word “Newton” could be taken as a personal name, but it is a name related to many theorems in Mathematics and Statistics</w:t>
      </w:r>
      <w:r w:rsidR="00193783">
        <w:rPr>
          <w:rFonts w:ascii="Arial Narrow" w:hAnsi="Arial Narrow"/>
          <w:sz w:val="20"/>
          <w:szCs w:val="20"/>
        </w:rPr>
        <w:t xml:space="preserve">. </w:t>
      </w:r>
    </w:p>
    <w:p w14:paraId="4D57770D" w14:textId="77777777" w:rsidR="00996396" w:rsidRDefault="00996396" w:rsidP="00996396">
      <w:pPr>
        <w:rPr>
          <w:rFonts w:ascii="Arial Narrow" w:hAnsi="Arial Narrow"/>
          <w:sz w:val="20"/>
          <w:szCs w:val="20"/>
        </w:rPr>
      </w:pPr>
      <w:r>
        <w:rPr>
          <w:rFonts w:ascii="Arial Narrow" w:hAnsi="Arial Narrow"/>
          <w:sz w:val="20"/>
          <w:szCs w:val="20"/>
        </w:rPr>
        <w:t>Methodology</w:t>
      </w:r>
    </w:p>
    <w:p w14:paraId="660AC5C8" w14:textId="3E33197C" w:rsidR="0068285C" w:rsidRDefault="00EF05FD" w:rsidP="00996396">
      <w:pPr>
        <w:rPr>
          <w:rFonts w:ascii="Arial Narrow" w:hAnsi="Arial Narrow"/>
          <w:sz w:val="20"/>
          <w:szCs w:val="20"/>
        </w:rPr>
      </w:pPr>
      <w:r>
        <w:rPr>
          <w:rFonts w:ascii="Arial Narrow" w:hAnsi="Arial Narrow"/>
          <w:sz w:val="20"/>
          <w:szCs w:val="20"/>
        </w:rPr>
        <w:t>The implemented PII detection system employs a hybrid architecture combining transformer-based deep learning with rule-based validation to achieve robust identification of sensitive information in the provided dataset. This approach addresses the dual challenges of maintaining high recall for rare PII patterns while preserving precision in diverse educational contexts.</w:t>
      </w:r>
    </w:p>
    <w:p w14:paraId="67AA1323" w14:textId="038D2189" w:rsidR="00C94A11" w:rsidRDefault="001D73B3" w:rsidP="00C94A11">
      <w:pPr>
        <w:rPr>
          <w:rFonts w:ascii="Arial Narrow" w:hAnsi="Arial Narrow"/>
          <w:sz w:val="20"/>
          <w:szCs w:val="20"/>
        </w:rPr>
      </w:pPr>
      <w:r>
        <w:rPr>
          <w:rFonts w:ascii="Arial Narrow" w:hAnsi="Arial Narrow"/>
          <w:sz w:val="20"/>
          <w:szCs w:val="20"/>
        </w:rPr>
        <w:t xml:space="preserve">The system processes raw </w:t>
      </w:r>
      <w:r w:rsidR="003A104B">
        <w:rPr>
          <w:rFonts w:ascii="Arial Narrow" w:hAnsi="Arial Narrow"/>
          <w:sz w:val="20"/>
          <w:szCs w:val="20"/>
        </w:rPr>
        <w:t xml:space="preserve">text through a multi-stage tokenization workflow using Hugging Face’s AutoTokenizer with dynamic truncation (from 512 – 2048 tokens) and stride overlap (32 tokens) to preserve contextual information at document boundaries. Special characters are handled via patterns from the long-standing regular expression library, which target PII categories for email, phone, and government IDs. </w:t>
      </w:r>
    </w:p>
    <w:p w14:paraId="7E7B618A" w14:textId="4A773871" w:rsidR="003A104B" w:rsidRDefault="00EC5E95" w:rsidP="00C94A11">
      <w:pPr>
        <w:rPr>
          <w:rFonts w:ascii="Arial Narrow" w:hAnsi="Arial Narrow"/>
          <w:sz w:val="20"/>
          <w:szCs w:val="20"/>
        </w:rPr>
      </w:pPr>
      <w:r>
        <w:rPr>
          <w:rFonts w:ascii="Arial Narrow" w:hAnsi="Arial Narrow"/>
          <w:sz w:val="20"/>
          <w:szCs w:val="20"/>
        </w:rPr>
        <w:t>Character-level features are extracted for each token, including length, digit ratio, uppercase patterns, and special character presence, forming an 11-dimensional feature vector that supplements neural embeddings.</w:t>
      </w:r>
    </w:p>
    <w:p w14:paraId="6E379BAB" w14:textId="5168978A" w:rsidR="0032175A" w:rsidRDefault="0032175A" w:rsidP="00C94A11">
      <w:pPr>
        <w:rPr>
          <w:rFonts w:ascii="Arial Narrow" w:hAnsi="Arial Narrow"/>
          <w:sz w:val="20"/>
          <w:szCs w:val="20"/>
        </w:rPr>
      </w:pPr>
      <w:r>
        <w:rPr>
          <w:rFonts w:ascii="Arial Narrow" w:hAnsi="Arial Narrow"/>
          <w:sz w:val="20"/>
          <w:szCs w:val="20"/>
        </w:rPr>
        <w:t>Experimental Setup</w:t>
      </w:r>
    </w:p>
    <w:p w14:paraId="3D73AB93" w14:textId="6D82CC2B" w:rsidR="0032175A" w:rsidRDefault="0032175A" w:rsidP="00C94A11">
      <w:pPr>
        <w:rPr>
          <w:rFonts w:ascii="Arial Narrow" w:hAnsi="Arial Narrow"/>
          <w:sz w:val="20"/>
          <w:szCs w:val="20"/>
        </w:rPr>
      </w:pPr>
      <w:r>
        <w:rPr>
          <w:rFonts w:ascii="Arial Narrow" w:hAnsi="Arial Narrow"/>
          <w:sz w:val="20"/>
          <w:szCs w:val="20"/>
        </w:rPr>
        <w:t>The implementation employs a structured approach to data splitting and model evaluation to ensure robust PII detection in educational datasets. The dataset was partitioned into training (80%), validation (10%), and test sets (10%), preserving document-level integrity to prevent data leakage between splits. This stratification maintains proportional representation of PII categories across splits, which is crucial given the imbalanced nature of sensitive information in educational content.</w:t>
      </w:r>
    </w:p>
    <w:p w14:paraId="11193A50" w14:textId="0D84C522" w:rsidR="003A672A" w:rsidRDefault="0032175A" w:rsidP="003A672A">
      <w:pPr>
        <w:rPr>
          <w:rFonts w:ascii="Arial Narrow" w:hAnsi="Arial Narrow"/>
          <w:sz w:val="20"/>
          <w:szCs w:val="20"/>
        </w:rPr>
      </w:pPr>
      <w:r>
        <w:rPr>
          <w:rFonts w:ascii="Arial Narrow" w:hAnsi="Arial Narrow"/>
          <w:sz w:val="20"/>
          <w:szCs w:val="20"/>
        </w:rPr>
        <w:t>The F1-score (0.89) has been the prioritized criterion due to its balance between precision and recall, particularly important for minimizing both false positives – critical for data utility – and false negative – essential for privacy protection. The ROC-AUC (0.94) and PR-AUC (0.91) metrics complement this analysis</w:t>
      </w:r>
      <w:r w:rsidR="003A672A">
        <w:rPr>
          <w:rFonts w:ascii="Arial Narrow" w:hAnsi="Arial Narrow"/>
          <w:sz w:val="20"/>
          <w:szCs w:val="20"/>
        </w:rPr>
        <w:t>, with PR-AUC proving particularly effective for the long0tailed class distribution typical of PII occurrences. While accuracy reaches 0.93, it is interpreted cautiously due to class imbalance, where non-PII tokens are prevalent in the dataset.</w:t>
      </w:r>
    </w:p>
    <w:p w14:paraId="32B9FF96" w14:textId="3EDEAD76" w:rsidR="003A672A" w:rsidRDefault="003A672A" w:rsidP="003A672A">
      <w:pPr>
        <w:rPr>
          <w:rFonts w:ascii="Arial Narrow" w:hAnsi="Arial Narrow"/>
          <w:sz w:val="20"/>
          <w:szCs w:val="20"/>
        </w:rPr>
      </w:pPr>
      <w:r>
        <w:rPr>
          <w:rFonts w:ascii="Arial Narrow" w:hAnsi="Arial Narrow"/>
          <w:sz w:val="20"/>
          <w:szCs w:val="20"/>
        </w:rPr>
        <w:t xml:space="preserve">Cross-validation employs a document-stratified five-fold approach, ensuring each fold contains complete documents rather than fragmented text segments. This prevents over-optimistic performance estimates that could occur from similar text fragments </w:t>
      </w:r>
      <w:r>
        <w:rPr>
          <w:rFonts w:ascii="Arial Narrow" w:hAnsi="Arial Narrow"/>
          <w:sz w:val="20"/>
          <w:szCs w:val="20"/>
        </w:rPr>
        <w:lastRenderedPageBreak/>
        <w:t xml:space="preserve">appearing in both training and validation sets. The validation set guides </w:t>
      </w:r>
      <w:r w:rsidR="005606BF">
        <w:rPr>
          <w:rFonts w:ascii="Arial Narrow" w:hAnsi="Arial Narrow"/>
          <w:sz w:val="20"/>
          <w:szCs w:val="20"/>
        </w:rPr>
        <w:t>hyperparameter tuning through Bayesian optimization, focusing on threshold selection, token window sizes (512 – 2048 tokens), and stride lengths (32 – 128 tokens) based on document length characteristics.</w:t>
      </w:r>
      <w:r w:rsidR="007256B2">
        <w:rPr>
          <w:rFonts w:ascii="Arial Narrow" w:hAnsi="Arial Narrow"/>
          <w:sz w:val="20"/>
          <w:szCs w:val="20"/>
        </w:rPr>
        <w:t xml:space="preserve"> </w:t>
      </w:r>
    </w:p>
    <w:p w14:paraId="1E0A2EC4" w14:textId="037C6F28" w:rsidR="007256B2" w:rsidRDefault="007256B2" w:rsidP="003A672A">
      <w:pPr>
        <w:rPr>
          <w:rFonts w:ascii="Arial Narrow" w:hAnsi="Arial Narrow"/>
          <w:sz w:val="20"/>
          <w:szCs w:val="20"/>
        </w:rPr>
      </w:pPr>
      <w:r>
        <w:rPr>
          <w:rFonts w:ascii="Arial Narrow" w:hAnsi="Arial Narrow"/>
          <w:sz w:val="20"/>
          <w:szCs w:val="20"/>
        </w:rPr>
        <w:t>Deployment Implications Discussion</w:t>
      </w:r>
    </w:p>
    <w:p w14:paraId="63ADA3E3" w14:textId="0C220311" w:rsidR="00E841E6" w:rsidRDefault="007256B2" w:rsidP="007256B2">
      <w:pPr>
        <w:tabs>
          <w:tab w:val="left" w:pos="6770"/>
        </w:tabs>
        <w:rPr>
          <w:rFonts w:ascii="Arial Narrow" w:hAnsi="Arial Narrow"/>
          <w:sz w:val="20"/>
          <w:szCs w:val="20"/>
        </w:rPr>
      </w:pPr>
      <w:r w:rsidRPr="00E841E6">
        <w:rPr>
          <w:rFonts w:ascii="Arial Narrow" w:hAnsi="Arial Narrow"/>
          <w:sz w:val="20"/>
          <w:szCs w:val="20"/>
          <w:u w:val="single"/>
        </w:rPr>
        <w:t>Scalability</w:t>
      </w:r>
      <w:r w:rsidRPr="007256B2">
        <w:rPr>
          <w:rFonts w:ascii="Arial Narrow" w:hAnsi="Arial Narrow"/>
          <w:b/>
          <w:bCs/>
          <w:sz w:val="20"/>
          <w:szCs w:val="20"/>
        </w:rPr>
        <w:t>:</w:t>
      </w:r>
      <w:r>
        <w:rPr>
          <w:rFonts w:ascii="Arial Narrow" w:hAnsi="Arial Narrow"/>
          <w:sz w:val="20"/>
          <w:szCs w:val="20"/>
        </w:rPr>
        <w:t xml:space="preserve"> </w:t>
      </w:r>
      <w:r w:rsidRPr="007256B2">
        <w:rPr>
          <w:rFonts w:ascii="Arial Narrow" w:hAnsi="Arial Narrow"/>
          <w:i/>
          <w:iCs/>
          <w:sz w:val="20"/>
          <w:szCs w:val="20"/>
        </w:rPr>
        <w:t>Model 387</w:t>
      </w:r>
      <w:r>
        <w:rPr>
          <w:rFonts w:ascii="Arial Narrow" w:hAnsi="Arial Narrow"/>
          <w:sz w:val="20"/>
          <w:szCs w:val="20"/>
        </w:rPr>
        <w:t xml:space="preserve"> processes roughly 310 documents per minute on T4 GPUs from Kaggle, whereas </w:t>
      </w:r>
      <w:r w:rsidRPr="007256B2">
        <w:rPr>
          <w:rFonts w:ascii="Arial Narrow" w:hAnsi="Arial Narrow"/>
          <w:i/>
          <w:iCs/>
          <w:sz w:val="20"/>
          <w:szCs w:val="20"/>
        </w:rPr>
        <w:t>Model 560</w:t>
      </w:r>
      <w:r>
        <w:rPr>
          <w:rFonts w:ascii="Arial Narrow" w:hAnsi="Arial Narrow"/>
          <w:sz w:val="20"/>
          <w:szCs w:val="20"/>
        </w:rPr>
        <w:t xml:space="preserve"> processes 110 documents per minute, making </w:t>
      </w:r>
      <w:r w:rsidRPr="007256B2">
        <w:rPr>
          <w:rFonts w:ascii="Arial Narrow" w:hAnsi="Arial Narrow"/>
          <w:i/>
          <w:iCs/>
          <w:sz w:val="20"/>
          <w:szCs w:val="20"/>
        </w:rPr>
        <w:t>Model 387</w:t>
      </w:r>
      <w:r>
        <w:rPr>
          <w:rFonts w:ascii="Arial Narrow" w:hAnsi="Arial Narrow"/>
          <w:sz w:val="20"/>
          <w:szCs w:val="20"/>
        </w:rPr>
        <w:t xml:space="preserve"> preferable for resource-constrained institutions. </w:t>
      </w:r>
      <w:r w:rsidR="00E841E6">
        <w:rPr>
          <w:rFonts w:ascii="Arial Narrow" w:hAnsi="Arial Narrow"/>
          <w:sz w:val="20"/>
          <w:szCs w:val="20"/>
        </w:rPr>
        <w:t>Ensemble approaches add 22% overhead but reduce missed PII 41% through weighted probability fusion</w:t>
      </w:r>
    </w:p>
    <w:p w14:paraId="11A7A558" w14:textId="6AC2E5CE" w:rsidR="00E841E6" w:rsidRDefault="00E841E6" w:rsidP="007256B2">
      <w:pPr>
        <w:tabs>
          <w:tab w:val="left" w:pos="6770"/>
        </w:tabs>
        <w:rPr>
          <w:rFonts w:ascii="Arial Narrow" w:hAnsi="Arial Narrow"/>
          <w:sz w:val="20"/>
          <w:szCs w:val="20"/>
        </w:rPr>
      </w:pPr>
      <w:r w:rsidRPr="00E841E6">
        <w:rPr>
          <w:rFonts w:ascii="Arial Narrow" w:hAnsi="Arial Narrow"/>
          <w:sz w:val="20"/>
          <w:szCs w:val="20"/>
          <w:u w:val="single"/>
        </w:rPr>
        <w:t>Generalization</w:t>
      </w:r>
      <w:r>
        <w:rPr>
          <w:rFonts w:ascii="Arial Narrow" w:hAnsi="Arial Narrow"/>
          <w:b/>
          <w:bCs/>
          <w:sz w:val="20"/>
          <w:szCs w:val="20"/>
        </w:rPr>
        <w:t xml:space="preserve">: </w:t>
      </w:r>
      <w:r w:rsidRPr="00E841E6">
        <w:rPr>
          <w:rFonts w:ascii="Arial Narrow" w:hAnsi="Arial Narrow"/>
          <w:i/>
          <w:iCs/>
          <w:sz w:val="20"/>
          <w:szCs w:val="20"/>
        </w:rPr>
        <w:t>Model 560</w:t>
      </w:r>
      <w:r>
        <w:rPr>
          <w:rFonts w:ascii="Arial Narrow" w:hAnsi="Arial Narrow"/>
          <w:sz w:val="20"/>
          <w:szCs w:val="20"/>
        </w:rPr>
        <w:t xml:space="preserve"> adapts better to research papers with an F1 score of 0.86; whereas </w:t>
      </w:r>
      <w:r w:rsidRPr="00E841E6">
        <w:rPr>
          <w:rFonts w:ascii="Arial Narrow" w:hAnsi="Arial Narrow"/>
          <w:i/>
          <w:iCs/>
          <w:sz w:val="20"/>
          <w:szCs w:val="20"/>
        </w:rPr>
        <w:t>Model 387</w:t>
      </w:r>
      <w:r>
        <w:rPr>
          <w:rFonts w:ascii="Arial Narrow" w:hAnsi="Arial Narrow"/>
          <w:i/>
          <w:iCs/>
          <w:sz w:val="20"/>
          <w:szCs w:val="20"/>
        </w:rPr>
        <w:t xml:space="preserve"> </w:t>
      </w:r>
      <w:r>
        <w:rPr>
          <w:rFonts w:ascii="Arial Narrow" w:hAnsi="Arial Narrow"/>
          <w:sz w:val="20"/>
          <w:szCs w:val="20"/>
        </w:rPr>
        <w:t xml:space="preserve">has superior performance on discussion forums, with an F1 score of 0.91. Hybrid deployment using document-length thresholds balances accuracy and speed. In this approach, </w:t>
      </w:r>
      <w:r w:rsidRPr="00E841E6">
        <w:rPr>
          <w:rFonts w:ascii="Arial Narrow" w:hAnsi="Arial Narrow"/>
          <w:i/>
          <w:iCs/>
          <w:sz w:val="20"/>
          <w:szCs w:val="20"/>
        </w:rPr>
        <w:t>Model 387</w:t>
      </w:r>
      <w:r>
        <w:rPr>
          <w:rFonts w:ascii="Arial Narrow" w:hAnsi="Arial Narrow"/>
          <w:sz w:val="20"/>
          <w:szCs w:val="20"/>
        </w:rPr>
        <w:t xml:space="preserve"> would be used for documents with fewer than 800 tokens, otherwise </w:t>
      </w:r>
      <w:r w:rsidRPr="00E841E6">
        <w:rPr>
          <w:rFonts w:ascii="Arial Narrow" w:hAnsi="Arial Narrow"/>
          <w:i/>
          <w:iCs/>
          <w:sz w:val="20"/>
          <w:szCs w:val="20"/>
        </w:rPr>
        <w:t>Model 560</w:t>
      </w:r>
      <w:r>
        <w:rPr>
          <w:rFonts w:ascii="Arial Narrow" w:hAnsi="Arial Narrow"/>
          <w:sz w:val="20"/>
          <w:szCs w:val="20"/>
        </w:rPr>
        <w:t xml:space="preserve"> would be utilized.</w:t>
      </w:r>
    </w:p>
    <w:p w14:paraId="281A24EF" w14:textId="3CFDD6D9" w:rsidR="005606BF" w:rsidRDefault="00E841E6" w:rsidP="003A672A">
      <w:pPr>
        <w:rPr>
          <w:rFonts w:ascii="Arial Narrow" w:hAnsi="Arial Narrow"/>
          <w:sz w:val="20"/>
          <w:szCs w:val="20"/>
        </w:rPr>
      </w:pPr>
      <w:r>
        <w:rPr>
          <w:rFonts w:ascii="Arial Narrow" w:hAnsi="Arial Narrow"/>
          <w:sz w:val="20"/>
          <w:szCs w:val="20"/>
        </w:rPr>
        <w:t>Using an adaptive ensemble would likely improve performance as different models would be used depending on text complexity metrics</w:t>
      </w:r>
      <w:r w:rsidR="008B0621">
        <w:rPr>
          <w:rFonts w:ascii="Arial Narrow" w:hAnsi="Arial Narrow"/>
          <w:sz w:val="20"/>
          <w:szCs w:val="20"/>
        </w:rPr>
        <w:t>, like entropy score and / or document length.</w:t>
      </w:r>
    </w:p>
    <w:p w14:paraId="3F7884C8" w14:textId="77777777" w:rsidR="008B0621" w:rsidRDefault="008B0621" w:rsidP="00105EA8">
      <w:pPr>
        <w:tabs>
          <w:tab w:val="left" w:pos="3245"/>
          <w:tab w:val="left" w:pos="6900"/>
        </w:tabs>
        <w:rPr>
          <w:rFonts w:ascii="Arial Narrow" w:hAnsi="Arial Narrow"/>
          <w:sz w:val="20"/>
          <w:szCs w:val="20"/>
        </w:rPr>
      </w:pPr>
      <w:r>
        <w:rPr>
          <w:rFonts w:ascii="Arial Narrow" w:hAnsi="Arial Narrow"/>
          <w:sz w:val="20"/>
          <w:szCs w:val="20"/>
        </w:rPr>
        <w:t>Conclusion</w:t>
      </w:r>
    </w:p>
    <w:p w14:paraId="7C3F503A" w14:textId="5CA68E8E" w:rsidR="00105EA8" w:rsidRPr="00E30B19" w:rsidRDefault="00E30B19" w:rsidP="00105EA8">
      <w:pPr>
        <w:tabs>
          <w:tab w:val="left" w:pos="3245"/>
          <w:tab w:val="left" w:pos="6900"/>
        </w:tabs>
      </w:pPr>
      <w:r w:rsidRPr="00E30B19">
        <w:rPr>
          <w:rFonts w:ascii="Arial Narrow" w:hAnsi="Arial Narrow"/>
          <w:sz w:val="20"/>
          <w:szCs w:val="20"/>
          <w:u w:val="single"/>
        </w:rPr>
        <w:t>Key Findings:</w:t>
      </w:r>
      <w:r w:rsidRPr="00E30B19">
        <w:rPr>
          <w:rFonts w:ascii="Arial Narrow" w:hAnsi="Arial Narrow"/>
          <w:sz w:val="20"/>
          <w:szCs w:val="20"/>
        </w:rPr>
        <w:t xml:space="preserve"> </w:t>
      </w:r>
      <w:r>
        <w:rPr>
          <w:rFonts w:ascii="Arial Narrow" w:hAnsi="Arial Narrow"/>
          <w:sz w:val="20"/>
          <w:szCs w:val="20"/>
        </w:rPr>
        <w:t xml:space="preserve">In this project, it has been shown that the ensemble of precision-optimized and recall-focused </w:t>
      </w:r>
    </w:p>
    <w:p w14:paraId="2B6274B1" w14:textId="2B97DE7E" w:rsidR="00C94A11" w:rsidRDefault="00105EA8" w:rsidP="00105EA8">
      <w:pPr>
        <w:tabs>
          <w:tab w:val="left" w:pos="3245"/>
          <w:tab w:val="left" w:pos="6900"/>
        </w:tabs>
        <w:rPr>
          <w:rFonts w:ascii="Arial Narrow" w:hAnsi="Arial Narrow"/>
          <w:sz w:val="20"/>
          <w:szCs w:val="20"/>
        </w:rPr>
      </w:pPr>
      <w:r>
        <w:rPr>
          <w:rFonts w:ascii="Arial Narrow" w:hAnsi="Arial Narrow"/>
          <w:sz w:val="20"/>
          <w:szCs w:val="20"/>
        </w:rPr>
        <w:tab/>
      </w:r>
    </w:p>
    <w:p w14:paraId="1A01C83D" w14:textId="77777777" w:rsidR="00C94A11" w:rsidRDefault="00C94A11" w:rsidP="00C94A11">
      <w:pPr>
        <w:rPr>
          <w:rFonts w:ascii="Arial Narrow" w:hAnsi="Arial Narrow"/>
          <w:sz w:val="20"/>
          <w:szCs w:val="20"/>
        </w:rPr>
      </w:pPr>
    </w:p>
    <w:p w14:paraId="26D541D1" w14:textId="77777777" w:rsidR="00C94A11" w:rsidRDefault="00C94A11" w:rsidP="00C94A11">
      <w:pPr>
        <w:rPr>
          <w:rFonts w:ascii="Arial Narrow" w:hAnsi="Arial Narrow"/>
          <w:sz w:val="20"/>
          <w:szCs w:val="20"/>
        </w:rPr>
      </w:pPr>
    </w:p>
    <w:p w14:paraId="7244C411" w14:textId="77777777" w:rsidR="00C94A11" w:rsidRDefault="00C94A11" w:rsidP="00C94A11">
      <w:pPr>
        <w:rPr>
          <w:rFonts w:ascii="Arial Narrow" w:hAnsi="Arial Narrow"/>
          <w:sz w:val="20"/>
          <w:szCs w:val="20"/>
        </w:rPr>
      </w:pPr>
    </w:p>
    <w:p w14:paraId="7677A3C7" w14:textId="77777777" w:rsidR="00C94A11" w:rsidRDefault="00C94A11" w:rsidP="00C94A11">
      <w:pPr>
        <w:rPr>
          <w:rFonts w:ascii="Arial Narrow" w:hAnsi="Arial Narrow"/>
          <w:sz w:val="20"/>
          <w:szCs w:val="20"/>
        </w:rPr>
      </w:pPr>
    </w:p>
    <w:p w14:paraId="461AE1BF" w14:textId="77777777" w:rsidR="00C94A11" w:rsidRDefault="00C94A11" w:rsidP="00C94A11">
      <w:pPr>
        <w:rPr>
          <w:rFonts w:ascii="Arial Narrow" w:hAnsi="Arial Narrow"/>
          <w:sz w:val="20"/>
          <w:szCs w:val="20"/>
        </w:rPr>
      </w:pPr>
    </w:p>
    <w:p w14:paraId="64C13051" w14:textId="77777777" w:rsidR="00C94A11" w:rsidRDefault="00C94A11" w:rsidP="00C94A11">
      <w:pPr>
        <w:rPr>
          <w:rFonts w:ascii="Arial Narrow" w:hAnsi="Arial Narrow"/>
          <w:sz w:val="20"/>
          <w:szCs w:val="20"/>
        </w:rPr>
      </w:pPr>
    </w:p>
    <w:p w14:paraId="36D4647C" w14:textId="77777777" w:rsidR="00C94A11" w:rsidRDefault="00C94A11" w:rsidP="00C94A11">
      <w:pPr>
        <w:rPr>
          <w:rFonts w:ascii="Arial Narrow" w:hAnsi="Arial Narrow"/>
          <w:sz w:val="20"/>
          <w:szCs w:val="20"/>
        </w:rPr>
      </w:pPr>
    </w:p>
    <w:p w14:paraId="165EF1D2" w14:textId="77777777" w:rsidR="00C94A11" w:rsidRDefault="00C94A11" w:rsidP="00C94A11">
      <w:pPr>
        <w:rPr>
          <w:rFonts w:ascii="Arial Narrow" w:hAnsi="Arial Narrow"/>
          <w:sz w:val="20"/>
          <w:szCs w:val="20"/>
        </w:rPr>
      </w:pPr>
    </w:p>
    <w:p w14:paraId="02464F67" w14:textId="77777777" w:rsidR="00C94A11" w:rsidRDefault="00C94A11" w:rsidP="00C94A11">
      <w:pPr>
        <w:rPr>
          <w:rFonts w:ascii="Arial Narrow" w:hAnsi="Arial Narrow"/>
          <w:sz w:val="20"/>
          <w:szCs w:val="20"/>
        </w:rPr>
      </w:pPr>
    </w:p>
    <w:p w14:paraId="42FAAF60" w14:textId="77777777" w:rsidR="00C94A11" w:rsidRDefault="00C94A11" w:rsidP="00C94A11">
      <w:pPr>
        <w:rPr>
          <w:rFonts w:ascii="Arial Narrow" w:hAnsi="Arial Narrow"/>
          <w:sz w:val="20"/>
          <w:szCs w:val="20"/>
        </w:rPr>
      </w:pPr>
    </w:p>
    <w:p w14:paraId="3AD5E753" w14:textId="77777777" w:rsidR="00C94A11" w:rsidRDefault="00C94A11" w:rsidP="00C94A11">
      <w:pPr>
        <w:rPr>
          <w:rFonts w:ascii="Arial Narrow" w:hAnsi="Arial Narrow"/>
          <w:sz w:val="20"/>
          <w:szCs w:val="20"/>
        </w:rPr>
      </w:pPr>
    </w:p>
    <w:p w14:paraId="29B31196" w14:textId="7B3CFB27" w:rsidR="00C94A11" w:rsidRDefault="00C94A11" w:rsidP="00C94A11">
      <w:pPr>
        <w:rPr>
          <w:rFonts w:ascii="Arial Narrow" w:hAnsi="Arial Narrow"/>
          <w:sz w:val="20"/>
          <w:szCs w:val="20"/>
        </w:rPr>
      </w:pPr>
      <w:r>
        <w:rPr>
          <w:rFonts w:ascii="Arial Narrow" w:hAnsi="Arial Narrow"/>
          <w:sz w:val="20"/>
          <w:szCs w:val="20"/>
        </w:rPr>
        <w:t>Sources</w:t>
      </w:r>
    </w:p>
    <w:p w14:paraId="53928250" w14:textId="74C41D29" w:rsidR="00C94A11" w:rsidRPr="00C94A11" w:rsidRDefault="00C94A11" w:rsidP="00C94A11">
      <w:pPr>
        <w:rPr>
          <w:rFonts w:ascii="Arial Narrow" w:hAnsi="Arial Narrow"/>
          <w:sz w:val="20"/>
          <w:szCs w:val="20"/>
        </w:rPr>
      </w:pPr>
      <w:r w:rsidRPr="00C94A11">
        <w:rPr>
          <w:rFonts w:ascii="Arial Narrow" w:hAnsi="Arial Narrow"/>
          <w:sz w:val="20"/>
          <w:szCs w:val="20"/>
        </w:rPr>
        <w:t>https://arxiv.org/html/2501.09765v1</w:t>
      </w:r>
    </w:p>
    <w:sectPr w:rsidR="00C94A11" w:rsidRPr="00C94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338A4"/>
    <w:multiLevelType w:val="hybridMultilevel"/>
    <w:tmpl w:val="7BACEDBC"/>
    <w:lvl w:ilvl="0" w:tplc="AF0614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61A0C"/>
    <w:multiLevelType w:val="hybridMultilevel"/>
    <w:tmpl w:val="DFE26BE6"/>
    <w:lvl w:ilvl="0" w:tplc="AF0614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002048">
    <w:abstractNumId w:val="1"/>
  </w:num>
  <w:num w:numId="2" w16cid:durableId="1705595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FC"/>
    <w:rsid w:val="000E2BE6"/>
    <w:rsid w:val="000F2C30"/>
    <w:rsid w:val="00105EA8"/>
    <w:rsid w:val="00193783"/>
    <w:rsid w:val="001D73B3"/>
    <w:rsid w:val="00232D1F"/>
    <w:rsid w:val="0026607A"/>
    <w:rsid w:val="0032175A"/>
    <w:rsid w:val="003A104B"/>
    <w:rsid w:val="003A672A"/>
    <w:rsid w:val="00413532"/>
    <w:rsid w:val="0054271A"/>
    <w:rsid w:val="005606BF"/>
    <w:rsid w:val="0066011B"/>
    <w:rsid w:val="0068285C"/>
    <w:rsid w:val="00723307"/>
    <w:rsid w:val="007256B2"/>
    <w:rsid w:val="007E1F1B"/>
    <w:rsid w:val="00830DC8"/>
    <w:rsid w:val="00885B63"/>
    <w:rsid w:val="008B0621"/>
    <w:rsid w:val="008F6ABB"/>
    <w:rsid w:val="00996396"/>
    <w:rsid w:val="00C94A11"/>
    <w:rsid w:val="00DA72B5"/>
    <w:rsid w:val="00E30B19"/>
    <w:rsid w:val="00E841E6"/>
    <w:rsid w:val="00EC5E95"/>
    <w:rsid w:val="00EF05FD"/>
    <w:rsid w:val="00F079CE"/>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C0CC"/>
  <w15:chartTrackingRefBased/>
  <w15:docId w15:val="{6728DB4A-6F5F-4BE7-94CD-8BD8D669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EFC"/>
    <w:rPr>
      <w:rFonts w:eastAsiaTheme="majorEastAsia" w:cstheme="majorBidi"/>
      <w:color w:val="272727" w:themeColor="text1" w:themeTint="D8"/>
    </w:rPr>
  </w:style>
  <w:style w:type="paragraph" w:styleId="Title">
    <w:name w:val="Title"/>
    <w:basedOn w:val="Normal"/>
    <w:next w:val="Normal"/>
    <w:link w:val="TitleChar"/>
    <w:uiPriority w:val="10"/>
    <w:qFormat/>
    <w:rsid w:val="00FF7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EFC"/>
    <w:pPr>
      <w:spacing w:before="160"/>
      <w:jc w:val="center"/>
    </w:pPr>
    <w:rPr>
      <w:i/>
      <w:iCs/>
      <w:color w:val="404040" w:themeColor="text1" w:themeTint="BF"/>
    </w:rPr>
  </w:style>
  <w:style w:type="character" w:customStyle="1" w:styleId="QuoteChar">
    <w:name w:val="Quote Char"/>
    <w:basedOn w:val="DefaultParagraphFont"/>
    <w:link w:val="Quote"/>
    <w:uiPriority w:val="29"/>
    <w:rsid w:val="00FF7EFC"/>
    <w:rPr>
      <w:i/>
      <w:iCs/>
      <w:color w:val="404040" w:themeColor="text1" w:themeTint="BF"/>
    </w:rPr>
  </w:style>
  <w:style w:type="paragraph" w:styleId="ListParagraph">
    <w:name w:val="List Paragraph"/>
    <w:basedOn w:val="Normal"/>
    <w:uiPriority w:val="34"/>
    <w:qFormat/>
    <w:rsid w:val="00FF7EFC"/>
    <w:pPr>
      <w:ind w:left="720"/>
      <w:contextualSpacing/>
    </w:pPr>
  </w:style>
  <w:style w:type="character" w:styleId="IntenseEmphasis">
    <w:name w:val="Intense Emphasis"/>
    <w:basedOn w:val="DefaultParagraphFont"/>
    <w:uiPriority w:val="21"/>
    <w:qFormat/>
    <w:rsid w:val="00FF7EFC"/>
    <w:rPr>
      <w:i/>
      <w:iCs/>
      <w:color w:val="0F4761" w:themeColor="accent1" w:themeShade="BF"/>
    </w:rPr>
  </w:style>
  <w:style w:type="paragraph" w:styleId="IntenseQuote">
    <w:name w:val="Intense Quote"/>
    <w:basedOn w:val="Normal"/>
    <w:next w:val="Normal"/>
    <w:link w:val="IntenseQuoteChar"/>
    <w:uiPriority w:val="30"/>
    <w:qFormat/>
    <w:rsid w:val="00FF7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EFC"/>
    <w:rPr>
      <w:i/>
      <w:iCs/>
      <w:color w:val="0F4761" w:themeColor="accent1" w:themeShade="BF"/>
    </w:rPr>
  </w:style>
  <w:style w:type="character" w:styleId="IntenseReference">
    <w:name w:val="Intense Reference"/>
    <w:basedOn w:val="DefaultParagraphFont"/>
    <w:uiPriority w:val="32"/>
    <w:qFormat/>
    <w:rsid w:val="00FF7E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2</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Aguirre Aragon</dc:creator>
  <cp:keywords/>
  <dc:description/>
  <cp:lastModifiedBy>Cesar Aguirre Aragon</cp:lastModifiedBy>
  <cp:revision>11</cp:revision>
  <dcterms:created xsi:type="dcterms:W3CDTF">2025-05-11T20:38:00Z</dcterms:created>
  <dcterms:modified xsi:type="dcterms:W3CDTF">2025-05-13T03:00:00Z</dcterms:modified>
</cp:coreProperties>
</file>