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B694" w14:textId="77777777" w:rsidR="00B13780" w:rsidRPr="00084BBB" w:rsidRDefault="00B13780" w:rsidP="00084BBB">
      <w:pPr>
        <w:keepNext/>
        <w:spacing w:before="100" w:after="40"/>
        <w:jc w:val="center"/>
        <w:outlineLvl w:val="1"/>
        <w:divId w:val="742292708"/>
        <w:rPr>
          <w:rFonts w:ascii="Calibri" w:eastAsia="Times New Roman" w:hAnsi="Calibri" w:cs="Calibri"/>
          <w:b/>
          <w:bCs/>
          <w:color w:val="17365D"/>
          <w:kern w:val="36"/>
          <w:szCs w:val="48"/>
        </w:rPr>
      </w:pPr>
      <w:r w:rsidRPr="00084BBB">
        <w:rPr>
          <w:rFonts w:ascii="Calibri" w:eastAsia="Times New Roman" w:hAnsi="Calibri" w:cs="Calibri"/>
          <w:b/>
          <w:bCs/>
          <w:color w:val="17365D"/>
          <w:kern w:val="36"/>
          <w:szCs w:val="48"/>
        </w:rPr>
        <w:t>Avance técnico del benchmark base TD3 para prótesis mioeléctrica</w:t>
      </w:r>
    </w:p>
    <w:p w14:paraId="15F70E9B" w14:textId="77777777" w:rsidR="00B13780" w:rsidRPr="00084BBB" w:rsidRDefault="00B13780" w:rsidP="00084BBB">
      <w:pPr>
        <w:keepNext/>
        <w:spacing w:before="160" w:after="60"/>
        <w:jc w:val="center"/>
        <w:outlineLvl w:val="2"/>
        <w:divId w:val="742292708"/>
        <w:rPr>
          <w:rFonts w:ascii="Calibri" w:eastAsia="Times New Roman" w:hAnsi="Calibri" w:cs="Calibri"/>
          <w:color w:val="425B76"/>
          <w:sz w:val="19"/>
          <w:szCs w:val="28"/>
        </w:rPr>
      </w:pPr>
      <w:r w:rsidRPr="00084BBB">
        <w:rPr>
          <w:rFonts w:ascii="Calibri" w:eastAsia="Times New Roman" w:hAnsi="Calibri" w:cs="Calibri"/>
          <w:color w:val="425B76"/>
          <w:sz w:val="19"/>
          <w:szCs w:val="28"/>
        </w:rPr>
        <w:t>Entrenamiento reproducible, función de recompensa, evaluación por motores y diagnóstico inicial del motor 2</w:t>
      </w:r>
    </w:p>
    <w:p w14:paraId="41F804AF" w14:textId="77777777" w:rsidR="00B13780" w:rsidRPr="00084BBB" w:rsidRDefault="00B13780" w:rsidP="00084BBB">
      <w:pPr>
        <w:spacing w:after="60"/>
        <w:jc w:val="center"/>
        <w:divId w:val="942541481"/>
        <w:rPr>
          <w:rFonts w:ascii="Calibri" w:eastAsia="Times New Roman" w:hAnsi="Calibri" w:cs="Calibri"/>
          <w:color w:val="20262D"/>
          <w:sz w:val="19"/>
          <w:szCs w:val="21"/>
        </w:rPr>
      </w:pPr>
      <w:r w:rsidRPr="00084BBB">
        <w:rPr>
          <w:rStyle w:val="Fuerte"/>
          <w:rFonts w:ascii="Calibri" w:eastAsia="Times New Roman" w:hAnsi="Calibri" w:cs="Calibri"/>
          <w:color w:val="20262D"/>
          <w:sz w:val="19"/>
          <w:szCs w:val="21"/>
        </w:rPr>
        <w:t>Autor:</w:t>
      </w:r>
      <w:r w:rsidRPr="00084BBB">
        <w:rPr>
          <w:rFonts w:ascii="Calibri" w:eastAsia="Times New Roman" w:hAnsi="Calibri" w:cs="Calibri"/>
          <w:color w:val="20262D"/>
          <w:sz w:val="19"/>
          <w:szCs w:val="21"/>
        </w:rPr>
        <w:t xml:space="preserve"> César Zapata</w:t>
      </w:r>
    </w:p>
    <w:p w14:paraId="62D88623" w14:textId="77777777" w:rsidR="00B13780" w:rsidRPr="00084BBB" w:rsidRDefault="00B13780" w:rsidP="00084BBB">
      <w:pPr>
        <w:spacing w:after="60"/>
        <w:jc w:val="center"/>
        <w:divId w:val="1971207026"/>
        <w:rPr>
          <w:rFonts w:ascii="Calibri" w:eastAsia="Times New Roman" w:hAnsi="Calibri" w:cs="Calibri"/>
          <w:color w:val="20262D"/>
          <w:sz w:val="19"/>
          <w:szCs w:val="21"/>
        </w:rPr>
      </w:pPr>
      <w:r w:rsidRPr="00084BBB">
        <w:rPr>
          <w:rStyle w:val="Fuerte"/>
          <w:rFonts w:ascii="Calibri" w:eastAsia="Times New Roman" w:hAnsi="Calibri" w:cs="Calibri"/>
          <w:color w:val="20262D"/>
          <w:sz w:val="19"/>
          <w:szCs w:val="21"/>
        </w:rPr>
        <w:t>Fecha:</w:t>
      </w:r>
      <w:r w:rsidRPr="00084BBB">
        <w:rPr>
          <w:rFonts w:ascii="Calibri" w:eastAsia="Times New Roman" w:hAnsi="Calibri" w:cs="Calibri"/>
          <w:color w:val="20262D"/>
          <w:sz w:val="19"/>
          <w:szCs w:val="21"/>
        </w:rPr>
        <w:t xml:space="preserve"> 1 de julio de 2026</w:t>
      </w:r>
    </w:p>
    <w:p w14:paraId="279EE161"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1. Resumen ejecutivo</w:t>
      </w:r>
    </w:p>
    <w:p w14:paraId="153918F6"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Se entrenó un benchmark base con el algoritmo </w:t>
      </w:r>
      <w:r w:rsidRPr="00084BBB">
        <w:rPr>
          <w:rStyle w:val="nfasis"/>
          <w:rFonts w:ascii="Calibri" w:hAnsi="Calibri" w:cs="Calibri"/>
          <w:color w:val="20262D"/>
          <w:sz w:val="19"/>
          <w:szCs w:val="20"/>
        </w:rPr>
        <w:t>Twin Delayed Deep Deterministic Policy Gradient</w:t>
      </w:r>
      <w:r w:rsidRPr="00084BBB">
        <w:rPr>
          <w:rFonts w:ascii="Calibri" w:hAnsi="Calibri" w:cs="Calibri"/>
          <w:color w:val="20262D"/>
          <w:sz w:val="19"/>
          <w:szCs w:val="20"/>
        </w:rPr>
        <w:t xml:space="preserve"> (TD3) para controlar cuatro motores simulados de una prótesis mioeléctrica. El objetivo fue establecer una lí</w:t>
      </w:r>
      <w:r w:rsidRPr="00084BBB">
        <w:rPr>
          <w:rFonts w:ascii="Calibri" w:hAnsi="Calibri" w:cs="Calibri"/>
          <w:color w:val="20262D"/>
          <w:sz w:val="19"/>
          <w:szCs w:val="20"/>
        </w:rPr>
        <w:t>nea base reproducible antes de continuar con variantes experimentales o validaciones físicas. La campaña utilizó cinco semillas, 12000 episodios por semilla y 60000 episodios acumulados.</w:t>
      </w:r>
    </w:p>
    <w:p w14:paraId="4A7F5D39"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El trabajo se ejecutó únicamente en software y simulación, con dataset pregrabado. No se activó hardware, no se utilizaron puertos COM y los motores fueron simulados. El resultado agregado fue </w:t>
      </w:r>
      <w:r w:rsidRPr="00084BBB">
        <w:rPr>
          <w:rStyle w:val="CdigoHTML"/>
          <w:rFonts w:ascii="Calibri" w:hAnsi="Calibri" w:cs="Calibri"/>
          <w:color w:val="20262D"/>
          <w:sz w:val="19"/>
        </w:rPr>
        <w:t>Rejected</w:t>
      </w:r>
      <w:r w:rsidRPr="00084BBB">
        <w:rPr>
          <w:rFonts w:ascii="Calibri" w:hAnsi="Calibri" w:cs="Calibri"/>
          <w:color w:val="20262D"/>
          <w:sz w:val="19"/>
          <w:szCs w:val="20"/>
        </w:rPr>
        <w:t xml:space="preserve">: ninguna semilla alcanzó </w:t>
      </w:r>
      <w:r w:rsidRPr="00084BBB">
        <w:rPr>
          <w:rStyle w:val="CdigoHTML"/>
          <w:rFonts w:ascii="Calibri" w:hAnsi="Calibri" w:cs="Calibri"/>
          <w:color w:val="20262D"/>
          <w:sz w:val="19"/>
        </w:rPr>
        <w:t>ConditionA</w:t>
      </w:r>
      <w:r w:rsidRPr="00084BBB">
        <w:rPr>
          <w:rFonts w:ascii="Calibri" w:hAnsi="Calibri" w:cs="Calibri"/>
          <w:color w:val="20262D"/>
          <w:sz w:val="19"/>
          <w:szCs w:val="20"/>
        </w:rPr>
        <w:t xml:space="preserve"> o </w:t>
      </w:r>
      <w:r w:rsidRPr="00084BBB">
        <w:rPr>
          <w:rStyle w:val="CdigoHTML"/>
          <w:rFonts w:ascii="Calibri" w:hAnsi="Calibri" w:cs="Calibri"/>
          <w:color w:val="20262D"/>
          <w:sz w:val="19"/>
        </w:rPr>
        <w:t>ConditionB</w:t>
      </w:r>
      <w:r w:rsidRPr="00084BBB">
        <w:rPr>
          <w:rFonts w:ascii="Calibri" w:hAnsi="Calibri" w:cs="Calibri"/>
          <w:color w:val="20262D"/>
          <w:sz w:val="19"/>
          <w:szCs w:val="20"/>
        </w:rPr>
        <w:t xml:space="preserve">. La campaña tampoco superó de forma robusta al benchmark histórico </w:t>
      </w:r>
      <w:r w:rsidRPr="00084BBB">
        <w:rPr>
          <w:rStyle w:val="CdigoHTML"/>
          <w:rFonts w:ascii="Calibri" w:hAnsi="Calibri" w:cs="Calibri"/>
          <w:color w:val="20262D"/>
          <w:sz w:val="19"/>
        </w:rPr>
        <w:t>Agent7250</w:t>
      </w:r>
      <w:r w:rsidRPr="00084BBB">
        <w:rPr>
          <w:rFonts w:ascii="Calibri" w:hAnsi="Calibri" w:cs="Calibri"/>
          <w:color w:val="20262D"/>
          <w:sz w:val="19"/>
          <w:szCs w:val="20"/>
        </w:rPr>
        <w:t>, principalmente por un tracking medio peor y una saturación mayor. El diagnóstico por motor dejó al motor 2 como hallazgo técnico a revisar, sin convertirlo en el objetivo principal de este documento.</w:t>
      </w:r>
    </w:p>
    <w:p w14:paraId="132834F8"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2. Objetivo del benchmark base</w:t>
      </w:r>
    </w:p>
    <w:p w14:paraId="0884B8BB"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benchmark base se diseñó para:</w:t>
      </w:r>
    </w:p>
    <w:p w14:paraId="66AF9EF8"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Repetir el entrenamiento TD3 desde cero con semillas controladas.</w:t>
      </w:r>
    </w:p>
    <w:p w14:paraId="7A728368"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Mantener una configuración común para todas las semillas.</w:t>
      </w:r>
    </w:p>
    <w:p w14:paraId="16281B87"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Guardar checkpoints y métricas suficientes para seleccionar un agente.</w:t>
      </w:r>
    </w:p>
    <w:p w14:paraId="1BB4CF81"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Evaluar el checkpoint seleccionado mediante 50 episodios de test.</w:t>
      </w:r>
    </w:p>
    <w:p w14:paraId="028949F4"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 xml:space="preserve">Comparar el resultado con </w:t>
      </w:r>
      <w:r w:rsidRPr="00084BBB">
        <w:rPr>
          <w:rStyle w:val="CdigoHTML"/>
          <w:rFonts w:ascii="Calibri" w:hAnsi="Calibri" w:cs="Calibri"/>
          <w:color w:val="20262D"/>
          <w:sz w:val="19"/>
        </w:rPr>
        <w:t>Agent7250</w:t>
      </w:r>
      <w:r w:rsidRPr="00084BBB">
        <w:rPr>
          <w:rFonts w:ascii="Calibri" w:eastAsia="Times New Roman" w:hAnsi="Calibri" w:cs="Calibri"/>
          <w:color w:val="20262D"/>
          <w:sz w:val="19"/>
          <w:szCs w:val="20"/>
        </w:rPr>
        <w:t>, referencia histórica del proyecto.</w:t>
      </w:r>
    </w:p>
    <w:p w14:paraId="67E6D10F" w14:textId="77777777" w:rsidR="00B13780" w:rsidRPr="00084BBB" w:rsidRDefault="00B13780" w:rsidP="00084BBB">
      <w:pPr>
        <w:numPr>
          <w:ilvl w:val="0"/>
          <w:numId w:val="1"/>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Detectar problemas por motor antes de considerar pruebas físicas.</w:t>
      </w:r>
    </w:p>
    <w:p w14:paraId="1CEF07DE"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campaña no pretendía promover automáticamente un nuevo agente. El criterio era conservar el nuevo resultado solo si mejoraba el tracking sin introducir esfuerzo, saturación o respuestas funcionales deficientes.</w:t>
      </w:r>
    </w:p>
    <w:p w14:paraId="190D8AD8"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3. Configuración de entrenamiento</w:t>
      </w:r>
    </w:p>
    <w:p w14:paraId="379446FA"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campaña revisada corresponde a:</w:t>
      </w:r>
    </w:p>
    <w:p w14:paraId="4E73BBBD" w14:textId="77777777" w:rsidR="00B13780" w:rsidRPr="00084BBB" w:rsidRDefault="00B13780" w:rsidP="00084BBB">
      <w:pPr>
        <w:pStyle w:val="NormalWeb"/>
        <w:spacing w:after="60"/>
        <w:rPr>
          <w:rFonts w:ascii="Calibri" w:hAnsi="Calibri" w:cs="Calibri"/>
          <w:color w:val="20262D"/>
          <w:sz w:val="19"/>
          <w:szCs w:val="20"/>
        </w:rPr>
      </w:pPr>
      <w:r w:rsidRPr="00084BBB">
        <w:rPr>
          <w:rStyle w:val="CdigoHTML"/>
          <w:rFonts w:ascii="Calibri" w:hAnsi="Calibri" w:cs="Calibri"/>
          <w:color w:val="20262D"/>
          <w:sz w:val="19"/>
        </w:rPr>
        <w:t>Agentes/benchmark_td3_seeded_retrain_motor2_diagnostic/26-05-27_23-44-39/</w:t>
      </w:r>
    </w:p>
    <w:tbl>
      <w:tblPr>
        <w:tblW w:w="5000" w:type="pct"/>
        <w:tblCellMar>
          <w:top w:w="15" w:type="dxa"/>
          <w:left w:w="15" w:type="dxa"/>
          <w:bottom w:w="15" w:type="dxa"/>
          <w:right w:w="15" w:type="dxa"/>
        </w:tblCellMar>
        <w:tblLook w:val="04A0" w:firstRow="1" w:lastRow="0" w:firstColumn="1" w:lastColumn="0" w:noHBand="0" w:noVBand="1"/>
      </w:tblPr>
      <w:tblGrid>
        <w:gridCol w:w="4488"/>
        <w:gridCol w:w="5922"/>
      </w:tblGrid>
      <w:tr w:rsidR="00000000" w:rsidRPr="00084BBB" w14:paraId="5C0EC4FE"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48F6101C"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lastRenderedPageBreak/>
              <w:t>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22D4E2D5"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Configuración</w:t>
            </w:r>
          </w:p>
        </w:tc>
      </w:tr>
      <w:tr w:rsidR="00000000" w:rsidRPr="00084BBB" w14:paraId="59ADB0B9"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DA8264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Algoritmo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6D1621C"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TD3 base</w:t>
            </w:r>
          </w:p>
        </w:tc>
      </w:tr>
      <w:tr w:rsidR="00000000" w:rsidRPr="00084BBB" w14:paraId="6CEA729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761A06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Inicio del agente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754025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Entrenamiento desde cero</w:t>
            </w:r>
          </w:p>
        </w:tc>
      </w:tr>
      <w:tr w:rsidR="00000000" w:rsidRPr="00084BBB" w14:paraId="6E7F74AE"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93ABA22"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Estado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D039BDE"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markov52</w:t>
            </w:r>
          </w:p>
        </w:tc>
      </w:tr>
      <w:tr w:rsidR="00000000" w:rsidRPr="00084BBB" w14:paraId="62DEDA3F"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AAC19A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Reward</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76182AC"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trackingMseActionRateReward</w:t>
            </w:r>
          </w:p>
        </w:tc>
      </w:tr>
      <w:tr w:rsidR="00000000" w:rsidRPr="00084BBB" w14:paraId="3235070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A6793F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Semillas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2A3D527"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[11 22 33 44 55]</w:t>
            </w:r>
          </w:p>
        </w:tc>
      </w:tr>
      <w:tr w:rsidR="00000000" w:rsidRPr="00084BBB" w14:paraId="7B040A31"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75B1A17"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Episodios por semilla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D04C4F0"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12000</w:t>
            </w:r>
          </w:p>
        </w:tc>
      </w:tr>
      <w:tr w:rsidR="00000000" w:rsidRPr="00084BBB" w14:paraId="3D884A99"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508064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Episodios acumulados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FE634E6"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60000</w:t>
            </w:r>
          </w:p>
        </w:tc>
      </w:tr>
      <w:tr w:rsidR="00000000" w:rsidRPr="00084BBB" w14:paraId="33B5ABBD"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0A2B0E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Checkpoint</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C69D8F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 xml:space="preserve">Cada </w:t>
            </w:r>
            <w:r w:rsidRPr="00084BBB">
              <w:rPr>
                <w:rStyle w:val="CdigoHTML"/>
                <w:rFonts w:ascii="Calibri" w:hAnsi="Calibri" w:cs="Calibri"/>
                <w:color w:val="20262D"/>
                <w:sz w:val="16"/>
              </w:rPr>
              <w:t>100</w:t>
            </w:r>
            <w:r w:rsidRPr="00084BBB">
              <w:rPr>
                <w:rFonts w:ascii="Calibri" w:eastAsia="Times New Roman" w:hAnsi="Calibri" w:cs="Calibri"/>
                <w:color w:val="20262D"/>
                <w:sz w:val="16"/>
                <w:szCs w:val="17"/>
              </w:rPr>
              <w:t xml:space="preserve"> episodios</w:t>
            </w:r>
          </w:p>
        </w:tc>
      </w:tr>
      <w:tr w:rsidR="00000000" w:rsidRPr="00084BBB" w14:paraId="21FEAA87"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B8A3F0F"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Guardado de episodios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1A214A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 xml:space="preserve">Cada </w:t>
            </w:r>
            <w:r w:rsidRPr="00084BBB">
              <w:rPr>
                <w:rStyle w:val="CdigoHTML"/>
                <w:rFonts w:ascii="Calibri" w:hAnsi="Calibri" w:cs="Calibri"/>
                <w:color w:val="20262D"/>
                <w:sz w:val="16"/>
              </w:rPr>
              <w:t>100</w:t>
            </w:r>
            <w:r w:rsidRPr="00084BBB">
              <w:rPr>
                <w:rFonts w:ascii="Calibri" w:eastAsia="Times New Roman" w:hAnsi="Calibri" w:cs="Calibri"/>
                <w:color w:val="20262D"/>
                <w:sz w:val="16"/>
                <w:szCs w:val="17"/>
              </w:rPr>
              <w:t xml:space="preserve"> episodios</w:t>
            </w:r>
          </w:p>
        </w:tc>
      </w:tr>
      <w:tr w:rsidR="00000000" w:rsidRPr="00084BBB" w14:paraId="0A86780A"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1E0B371"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Auditoría rápida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450CAF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20</w:t>
            </w:r>
            <w:r w:rsidRPr="00084BBB">
              <w:rPr>
                <w:rFonts w:ascii="Calibri" w:eastAsia="Times New Roman" w:hAnsi="Calibri" w:cs="Calibri"/>
                <w:color w:val="20262D"/>
                <w:sz w:val="16"/>
                <w:szCs w:val="17"/>
              </w:rPr>
              <w:t xml:space="preserve"> simulaciones</w:t>
            </w:r>
          </w:p>
        </w:tc>
      </w:tr>
      <w:tr w:rsidR="00000000" w:rsidRPr="00084BBB" w14:paraId="22FB3D7D"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3B7CE1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Auditoría completa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D6ABDAC"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50</w:t>
            </w:r>
            <w:r w:rsidRPr="00084BBB">
              <w:rPr>
                <w:rFonts w:ascii="Calibri" w:eastAsia="Times New Roman" w:hAnsi="Calibri" w:cs="Calibri"/>
                <w:color w:val="20262D"/>
                <w:sz w:val="16"/>
                <w:szCs w:val="17"/>
              </w:rPr>
              <w:t xml:space="preserve"> simulaciones</w:t>
            </w:r>
          </w:p>
        </w:tc>
      </w:tr>
      <w:tr w:rsidR="00000000" w:rsidRPr="00084BBB" w14:paraId="20AE0230"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B729B4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Candidatos completos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6BB0B52"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topK = 5</w:t>
            </w:r>
          </w:p>
        </w:tc>
      </w:tr>
      <w:tr w:rsidR="00000000" w:rsidRPr="00084BBB" w14:paraId="074108F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E96A42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Test final</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4247FA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50</w:t>
            </w:r>
            <w:r w:rsidRPr="00084BBB">
              <w:rPr>
                <w:rFonts w:ascii="Calibri" w:eastAsia="Times New Roman" w:hAnsi="Calibri" w:cs="Calibri"/>
                <w:color w:val="20262D"/>
                <w:sz w:val="16"/>
                <w:szCs w:val="17"/>
              </w:rPr>
              <w:t xml:space="preserve"> episodios</w:t>
            </w:r>
          </w:p>
        </w:tc>
      </w:tr>
      <w:tr w:rsidR="00000000" w:rsidRPr="00084BBB" w14:paraId="74833716"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501145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Dataset</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577159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Pregrabado</w:t>
            </w:r>
          </w:p>
        </w:tc>
      </w:tr>
      <w:tr w:rsidR="00000000" w:rsidRPr="00084BBB" w14:paraId="2F9DDB4F"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8E537E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Motores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C9EB54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Simulados</w:t>
            </w:r>
          </w:p>
        </w:tc>
      </w:tr>
      <w:tr w:rsidR="00000000" w:rsidRPr="00084BBB" w14:paraId="45071CC0"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5F3301A"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usePrerecorded</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D893D7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true</w:t>
            </w:r>
          </w:p>
        </w:tc>
      </w:tr>
      <w:tr w:rsidR="00000000" w:rsidRPr="00084BBB" w14:paraId="77FFB2EC"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CE6BF9A"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simMotors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B514637"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true</w:t>
            </w:r>
          </w:p>
        </w:tc>
      </w:tr>
      <w:tr w:rsidR="00000000" w:rsidRPr="00084BBB" w14:paraId="228ACC88"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7800D2F"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connect_glove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6868AE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false</w:t>
            </w:r>
          </w:p>
        </w:tc>
      </w:tr>
      <w:tr w:rsidR="00000000" w:rsidRPr="00084BBB" w14:paraId="1C6EB104"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1D53B5F"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unifyActions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C538DAB"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false</w:t>
            </w:r>
          </w:p>
        </w:tc>
      </w:tr>
      <w:tr w:rsidR="00000000" w:rsidRPr="00084BBB" w14:paraId="1328C52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D899C6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Interfaz de 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341ECDE"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baselineQuantized</w:t>
            </w:r>
          </w:p>
        </w:tc>
      </w:tr>
    </w:tbl>
    <w:p w14:paraId="1E1F83F2"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entrenamiento utilizó una NVIDIA GeForce RTX 5070 Laptop GPU. El summary de la campaña registra CUDA Forward Compatibility habilitada, GPU disponible y GPU activa. Esta aceleración reduce el tiempo de cómputo, pero no modifica los criterios de selección o aceptación.</w:t>
      </w:r>
    </w:p>
    <w:p w14:paraId="3A15962F" w14:textId="77777777" w:rsidR="00B13780" w:rsidRPr="00084BBB" w:rsidRDefault="00B13780" w:rsidP="00084BBB">
      <w:pPr>
        <w:spacing w:after="60"/>
        <w:jc w:val="center"/>
        <w:divId w:val="50691781"/>
        <w:rPr>
          <w:rFonts w:ascii="Calibri" w:eastAsia="Times New Roman" w:hAnsi="Calibri" w:cs="Calibri"/>
          <w:color w:val="20262D"/>
          <w:sz w:val="19"/>
          <w:szCs w:val="20"/>
        </w:rPr>
      </w:pPr>
      <w:r w:rsidRPr="00084BBB">
        <w:rPr>
          <w:rFonts w:ascii="Calibri" w:eastAsia="Times New Roman" w:hAnsi="Calibri" w:cs="Calibri"/>
          <w:noProof/>
          <w:color w:val="20262D"/>
          <w:sz w:val="19"/>
          <w:szCs w:val="20"/>
        </w:rPr>
        <w:lastRenderedPageBreak/>
        <w:drawing>
          <wp:inline distT="0" distB="0" distL="0" distR="0" wp14:anchorId="7726D8C7" wp14:editId="6811E95B">
            <wp:extent cx="5580000" cy="362553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0000" cy="3625530"/>
                    </a:xfrm>
                    <a:prstGeom prst="rect">
                      <a:avLst/>
                    </a:prstGeom>
                    <a:noFill/>
                    <a:ln>
                      <a:noFill/>
                    </a:ln>
                  </pic:spPr>
                </pic:pic>
              </a:graphicData>
            </a:graphic>
          </wp:inline>
        </w:drawing>
      </w:r>
    </w:p>
    <w:p w14:paraId="692F568C" w14:textId="77777777" w:rsidR="00B13780" w:rsidRPr="00084BBB" w:rsidRDefault="00B13780" w:rsidP="00084BBB">
      <w:pPr>
        <w:spacing w:after="60"/>
        <w:jc w:val="center"/>
        <w:divId w:val="186649686"/>
        <w:rPr>
          <w:rFonts w:ascii="Calibri" w:eastAsia="Times New Roman" w:hAnsi="Calibri" w:cs="Calibri"/>
          <w:color w:val="4C5965"/>
          <w:sz w:val="19"/>
          <w:szCs w:val="18"/>
        </w:rPr>
      </w:pPr>
      <w:r w:rsidRPr="00084BBB">
        <w:rPr>
          <w:rFonts w:ascii="Calibri" w:eastAsia="Times New Roman" w:hAnsi="Calibri" w:cs="Calibri"/>
          <w:color w:val="4C5965"/>
          <w:sz w:val="19"/>
          <w:szCs w:val="18"/>
        </w:rPr>
        <w:t>Figura 1. Evolución del reward medio durante el entrenamiento multiseed.</w:t>
      </w:r>
    </w:p>
    <w:p w14:paraId="58183204"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4. Estado Markov52 usado por el agente</w:t>
      </w:r>
    </w:p>
    <w:p w14:paraId="3343B8A4"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observación </w:t>
      </w:r>
      <w:r w:rsidRPr="00084BBB">
        <w:rPr>
          <w:rStyle w:val="CdigoHTML"/>
          <w:rFonts w:ascii="Calibri" w:hAnsi="Calibri" w:cs="Calibri"/>
          <w:color w:val="20262D"/>
          <w:sz w:val="19"/>
        </w:rPr>
        <w:t>markov52</w:t>
      </w:r>
      <w:r w:rsidRPr="00084BBB">
        <w:rPr>
          <w:rFonts w:ascii="Calibri" w:hAnsi="Calibri" w:cs="Calibri"/>
          <w:color w:val="20262D"/>
          <w:sz w:val="19"/>
          <w:szCs w:val="20"/>
        </w:rPr>
        <w:t xml:space="preserve"> contiene 52 valores:</w:t>
      </w:r>
    </w:p>
    <w:tbl>
      <w:tblPr>
        <w:tblW w:w="5000" w:type="pct"/>
        <w:tblCellMar>
          <w:top w:w="15" w:type="dxa"/>
          <w:left w:w="15" w:type="dxa"/>
          <w:bottom w:w="15" w:type="dxa"/>
          <w:right w:w="15" w:type="dxa"/>
        </w:tblCellMar>
        <w:tblLook w:val="04A0" w:firstRow="1" w:lastRow="0" w:firstColumn="1" w:lastColumn="0" w:noHBand="0" w:noVBand="1"/>
      </w:tblPr>
      <w:tblGrid>
        <w:gridCol w:w="3248"/>
        <w:gridCol w:w="1748"/>
        <w:gridCol w:w="5414"/>
      </w:tblGrid>
      <w:tr w:rsidR="00000000" w:rsidRPr="00084BBB" w14:paraId="7903F79C"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480F48B7"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Componente</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0D6565DB"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Dimensión</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06014014"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Función</w:t>
            </w:r>
          </w:p>
        </w:tc>
      </w:tr>
      <w:tr w:rsidR="00000000" w:rsidRPr="00084BBB" w14:paraId="271506B1"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83F0C4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Características EMG</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5C74D0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40</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9E2A65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Representan la ventana EMG actual</w:t>
            </w:r>
          </w:p>
        </w:tc>
      </w:tr>
      <w:tr w:rsidR="00000000" w:rsidRPr="00084BBB" w14:paraId="6F12B6DF"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CAE840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lastRenderedPageBreak/>
              <w:t>Encoder normalizado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E0BBE3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4</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38CE3F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Posición actual de M1-M4</w:t>
            </w:r>
          </w:p>
        </w:tc>
      </w:tr>
      <w:tr w:rsidR="00000000" w:rsidRPr="00084BBB" w14:paraId="0E6EAFCD"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BFE8D0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Cambio de encoder</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F756E3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4</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711BC3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Diferencia respecto al estado anterior</w:t>
            </w:r>
          </w:p>
        </w:tc>
      </w:tr>
      <w:tr w:rsidR="00000000" w:rsidRPr="00084BBB" w14:paraId="26F25B4E"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75AFDD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Acción efectiva previa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8C863E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4</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AACEC4F"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Acción aplicada en el paso anterior</w:t>
            </w:r>
          </w:p>
        </w:tc>
      </w:tr>
      <w:tr w:rsidR="00000000" w:rsidRPr="00084BBB" w14:paraId="47A8F2A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AA5998D" w14:textId="77777777" w:rsidR="00B13780" w:rsidRPr="00084BBB" w:rsidRDefault="00B13780" w:rsidP="00084BBB">
            <w:pPr>
              <w:spacing w:before="100"/>
              <w:rPr>
                <w:rFonts w:ascii="Calibri" w:eastAsia="Times New Roman" w:hAnsi="Calibri" w:cs="Calibri"/>
                <w:color w:val="20262D"/>
                <w:sz w:val="16"/>
                <w:szCs w:val="17"/>
              </w:rPr>
            </w:pPr>
            <w:r w:rsidRPr="00084BBB">
              <w:rPr>
                <w:rStyle w:val="Fuerte"/>
                <w:rFonts w:ascii="Calibri" w:eastAsia="Times New Roman" w:hAnsi="Calibri" w:cs="Calibri"/>
                <w:color w:val="20262D"/>
                <w:sz w:val="16"/>
                <w:szCs w:val="17"/>
              </w:rPr>
              <w:t>Total</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E00845F" w14:textId="77777777" w:rsidR="00B13780" w:rsidRPr="00084BBB" w:rsidRDefault="00B13780" w:rsidP="00084BBB">
            <w:pPr>
              <w:spacing w:before="100"/>
              <w:rPr>
                <w:rFonts w:ascii="Calibri" w:eastAsia="Times New Roman" w:hAnsi="Calibri" w:cs="Calibri"/>
                <w:color w:val="20262D"/>
                <w:sz w:val="16"/>
                <w:szCs w:val="17"/>
              </w:rPr>
            </w:pPr>
            <w:r w:rsidRPr="00084BBB">
              <w:rPr>
                <w:rStyle w:val="Fuerte"/>
                <w:rFonts w:ascii="Calibri" w:eastAsia="Times New Roman" w:hAnsi="Calibri" w:cs="Calibri"/>
                <w:color w:val="20262D"/>
                <w:sz w:val="16"/>
                <w:szCs w:val="17"/>
              </w:rPr>
              <w:t>52</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4E31BA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Entrada del agente TD3</w:t>
            </w:r>
          </w:p>
        </w:tc>
      </w:tr>
    </w:tbl>
    <w:p w14:paraId="37716C19"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Las 40 características EMG se calculan con </w:t>
      </w:r>
      <w:r w:rsidRPr="00084BBB">
        <w:rPr>
          <w:rStyle w:val="CdigoHTML"/>
          <w:rFonts w:ascii="Calibri" w:hAnsi="Calibri" w:cs="Calibri"/>
          <w:color w:val="20262D"/>
          <w:sz w:val="19"/>
        </w:rPr>
        <w:t>getWmoosFeatures</w:t>
      </w:r>
      <w:r w:rsidRPr="00084BBB">
        <w:rPr>
          <w:rFonts w:ascii="Calibri" w:hAnsi="Calibri" w:cs="Calibri"/>
          <w:color w:val="20262D"/>
          <w:sz w:val="19"/>
          <w:szCs w:val="20"/>
        </w:rPr>
        <w:t xml:space="preserve"> y se normalizan con los valores del proyecto. Los encoders se normalizan con divisores </w:t>
      </w:r>
      <w:r w:rsidRPr="00084BBB">
        <w:rPr>
          <w:rStyle w:val="CdigoHTML"/>
          <w:rFonts w:ascii="Calibri" w:hAnsi="Calibri" w:cs="Calibri"/>
          <w:color w:val="20262D"/>
          <w:sz w:val="19"/>
        </w:rPr>
        <w:t>[26500 11500 8500 9000]</w:t>
      </w:r>
      <w:r w:rsidRPr="00084BBB">
        <w:rPr>
          <w:rFonts w:ascii="Calibri" w:hAnsi="Calibri" w:cs="Calibri"/>
          <w:color w:val="20262D"/>
          <w:sz w:val="19"/>
          <w:szCs w:val="20"/>
        </w:rPr>
        <w:t xml:space="preserve">. El cambio de encoder y la acción anterior se limitan a </w:t>
      </w:r>
      <w:r w:rsidRPr="00084BBB">
        <w:rPr>
          <w:rStyle w:val="CdigoHTML"/>
          <w:rFonts w:ascii="Calibri" w:hAnsi="Calibri" w:cs="Calibri"/>
          <w:color w:val="20262D"/>
          <w:sz w:val="19"/>
        </w:rPr>
        <w:t>[-1, 1]</w:t>
      </w:r>
      <w:r w:rsidRPr="00084BBB">
        <w:rPr>
          <w:rFonts w:ascii="Calibri" w:hAnsi="Calibri" w:cs="Calibri"/>
          <w:color w:val="20262D"/>
          <w:sz w:val="19"/>
          <w:szCs w:val="20"/>
        </w:rPr>
        <w:t>.</w:t>
      </w:r>
    </w:p>
    <w:p w14:paraId="154CD1DA" w14:textId="77777777" w:rsidR="00B13780" w:rsidRPr="00084BBB" w:rsidRDefault="00B13780" w:rsidP="00084BBB">
      <w:pPr>
        <w:pStyle w:val="NormalWeb"/>
        <w:spacing w:after="60"/>
        <w:rPr>
          <w:rFonts w:ascii="Calibri" w:hAnsi="Calibri" w:cs="Calibri"/>
          <w:color w:val="20262D"/>
          <w:sz w:val="19"/>
          <w:szCs w:val="20"/>
        </w:rPr>
      </w:pPr>
      <w:r w:rsidRPr="00084BBB">
        <w:rPr>
          <w:rStyle w:val="CdigoHTML"/>
          <w:rFonts w:ascii="Calibri" w:hAnsi="Calibri" w:cs="Calibri"/>
          <w:color w:val="20262D"/>
          <w:sz w:val="19"/>
        </w:rPr>
        <w:t>markov52</w:t>
      </w:r>
      <w:r w:rsidRPr="00084BBB">
        <w:rPr>
          <w:rFonts w:ascii="Calibri" w:hAnsi="Calibri" w:cs="Calibri"/>
          <w:color w:val="20262D"/>
          <w:sz w:val="19"/>
          <w:szCs w:val="20"/>
        </w:rPr>
        <w:t xml:space="preserve"> incorpora información de primer orden mediante el cambio de posición y la acció</w:t>
      </w:r>
      <w:r w:rsidRPr="00084BBB">
        <w:rPr>
          <w:rFonts w:ascii="Calibri" w:hAnsi="Calibri" w:cs="Calibri"/>
          <w:color w:val="20262D"/>
          <w:sz w:val="19"/>
          <w:szCs w:val="20"/>
        </w:rPr>
        <w:t>n previa. No utiliza el apilado de tres ventanas EMG; esa lógica corresponde a otra variante de observación y no a este benchmark.</w:t>
      </w:r>
    </w:p>
    <w:p w14:paraId="3F1B58B5"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5. Función de recompensa</w:t>
      </w:r>
    </w:p>
    <w:p w14:paraId="172700A8"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reward oficial fue </w:t>
      </w:r>
      <w:r w:rsidRPr="00084BBB">
        <w:rPr>
          <w:rStyle w:val="CdigoHTML"/>
          <w:rFonts w:ascii="Calibri" w:hAnsi="Calibri" w:cs="Calibri"/>
          <w:color w:val="20262D"/>
          <w:sz w:val="19"/>
        </w:rPr>
        <w:t>trackingMseActionRateReward</w:t>
      </w:r>
      <w:r w:rsidRPr="00084BBB">
        <w:rPr>
          <w:rFonts w:ascii="Calibri" w:hAnsi="Calibri" w:cs="Calibri"/>
          <w:color w:val="20262D"/>
          <w:sz w:val="19"/>
          <w:szCs w:val="20"/>
        </w:rPr>
        <w:t>. Para cada motor se definió el error entre la respuesta simulada y la referencia:</w:t>
      </w:r>
    </w:p>
    <w:p w14:paraId="4E50EBE5" w14:textId="56600898" w:rsidR="00B13780" w:rsidRPr="00084BBB" w:rsidRDefault="00084BBB" w:rsidP="00084BBB">
      <w:pPr>
        <w:pStyle w:val="equation"/>
        <w:spacing w:before="80" w:after="60"/>
        <w:rPr>
          <w:rFonts w:ascii="Calibri" w:hAnsi="Calibri" w:cs="Calibri"/>
          <w:color w:val="20262D"/>
          <w:sz w:val="19"/>
          <w:szCs w:val="20"/>
        </w:rPr>
      </w:pPr>
      <m:oMathPara>
        <m:oMath>
          <m:sSub>
            <m:sSubPr>
              <m:ctrlPr>
                <w:rPr>
                  <w:rFonts w:ascii="Calibri" w:hAnsi="Calibri" w:cs="Calibri"/>
                  <w:i/>
                  <w:color w:val="20262D"/>
                  <w:sz w:val="19"/>
                  <w:szCs w:val="20"/>
                </w:rPr>
              </m:ctrlPr>
            </m:sSubPr>
            <m:e>
              <m:r>
                <w:rPr>
                  <w:rFonts w:ascii="Calibri" w:hAnsi="Calibri" w:cs="Calibri"/>
                  <w:color w:val="20262D"/>
                  <w:sz w:val="19"/>
                  <w:szCs w:val="20"/>
                </w:rPr>
                <m:t>e</m:t>
              </m:r>
            </m:e>
            <m:sub>
              <m:r>
                <w:rPr>
                  <w:rFonts w:ascii="Calibri" w:hAnsi="Calibri" w:cs="Calibri"/>
                  <w:color w:val="20262D"/>
                  <w:sz w:val="19"/>
                  <w:szCs w:val="20"/>
                </w:rPr>
                <m:t>i</m:t>
              </m:r>
            </m:sub>
          </m:sSub>
          <m:r>
            <w:rPr>
              <w:rFonts w:ascii="Calibri" w:hAnsi="Calibri" w:cs="Calibri"/>
              <w:color w:val="20262D"/>
              <w:sz w:val="19"/>
              <w:szCs w:val="20"/>
            </w:rPr>
            <m:t>=</m:t>
          </m:r>
          <m:sSub>
            <m:sSubPr>
              <m:ctrlPr>
                <w:rPr>
                  <w:rFonts w:ascii="Calibri" w:hAnsi="Calibri" w:cs="Calibri"/>
                  <w:i/>
                  <w:color w:val="20262D"/>
                  <w:sz w:val="19"/>
                  <w:szCs w:val="20"/>
                </w:rPr>
              </m:ctrlPr>
            </m:sSubPr>
            <m:e>
              <m:r>
                <w:rPr>
                  <w:rFonts w:ascii="Calibri" w:hAnsi="Calibri" w:cs="Calibri"/>
                  <w:color w:val="20262D"/>
                  <w:sz w:val="19"/>
                  <w:szCs w:val="20"/>
                </w:rPr>
                <m:t>y</m:t>
              </m:r>
            </m:e>
            <m:sub>
              <m:r>
                <w:rPr>
                  <w:rFonts w:ascii="Calibri" w:hAnsi="Calibri" w:cs="Calibri"/>
                  <w:color w:val="20262D"/>
                  <w:sz w:val="19"/>
                  <w:szCs w:val="20"/>
                </w:rPr>
                <m:t>i</m:t>
              </m:r>
            </m:sub>
          </m:sSub>
          <m:r>
            <w:rPr>
              <w:rFonts w:ascii="Calibri" w:hAnsi="Calibri" w:cs="Calibri"/>
              <w:color w:val="20262D"/>
              <w:sz w:val="19"/>
              <w:szCs w:val="20"/>
            </w:rPr>
            <m:t>-</m:t>
          </m:r>
          <m:sSub>
            <m:sSubPr>
              <m:ctrlPr>
                <w:rPr>
                  <w:rFonts w:ascii="Calibri" w:hAnsi="Calibri" w:cs="Calibri"/>
                  <w:i/>
                  <w:color w:val="20262D"/>
                  <w:sz w:val="19"/>
                  <w:szCs w:val="20"/>
                </w:rPr>
              </m:ctrlPr>
            </m:sSubPr>
            <m:e>
              <m:r>
                <w:rPr>
                  <w:rFonts w:ascii="Calibri" w:hAnsi="Calibri" w:cs="Calibri"/>
                  <w:color w:val="20262D"/>
                  <w:sz w:val="19"/>
                  <w:szCs w:val="20"/>
                </w:rPr>
                <m:t>r</m:t>
              </m:r>
            </m:e>
            <m:sub>
              <m:r>
                <w:rPr>
                  <w:rFonts w:ascii="Calibri" w:hAnsi="Calibri" w:cs="Calibri"/>
                  <w:color w:val="20262D"/>
                  <w:sz w:val="19"/>
                  <w:szCs w:val="20"/>
                </w:rPr>
                <m:t>i</m:t>
              </m:r>
            </m:sub>
          </m:sSub>
        </m:oMath>
      </m:oMathPara>
    </w:p>
    <w:p w14:paraId="1176993E"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cambio de acción se calculó respecto al paso anterior:</w:t>
      </w:r>
    </w:p>
    <w:p w14:paraId="0DE1AC54" w14:textId="315EA574" w:rsidR="00B13780" w:rsidRPr="00084BBB" w:rsidRDefault="00084BBB" w:rsidP="00084BBB">
      <w:pPr>
        <w:pStyle w:val="equation"/>
        <w:spacing w:before="80" w:after="60"/>
        <w:rPr>
          <w:rFonts w:ascii="Calibri" w:hAnsi="Calibri" w:cs="Calibri"/>
          <w:color w:val="20262D"/>
          <w:sz w:val="19"/>
          <w:szCs w:val="20"/>
        </w:rPr>
      </w:pPr>
      <m:oMathPara>
        <m:oMath>
          <m:r>
            <w:rPr>
              <w:rFonts w:ascii="Calibri" w:hAnsi="Calibri" w:cs="Calibri"/>
              <w:color w:val="20262D"/>
              <w:sz w:val="19"/>
              <w:szCs w:val="20"/>
            </w:rPr>
            <m:t>Δ</m:t>
          </m:r>
          <m:sSub>
            <m:sSubPr>
              <m:ctrlPr>
                <w:rPr>
                  <w:rFonts w:ascii="Calibri" w:hAnsi="Calibri" w:cs="Calibri"/>
                  <w:i/>
                  <w:color w:val="20262D"/>
                  <w:sz w:val="19"/>
                  <w:szCs w:val="20"/>
                </w:rPr>
              </m:ctrlPr>
            </m:sSubPr>
            <m:e>
              <m:r>
                <w:rPr>
                  <w:rFonts w:ascii="Calibri" w:hAnsi="Calibri" w:cs="Calibri"/>
                  <w:color w:val="20262D"/>
                  <w:sz w:val="19"/>
                  <w:szCs w:val="20"/>
                </w:rPr>
                <m:t>a</m:t>
              </m:r>
            </m:e>
            <m:sub>
              <m:r>
                <w:rPr>
                  <w:rFonts w:ascii="Calibri" w:hAnsi="Calibri" w:cs="Calibri"/>
                  <w:color w:val="20262D"/>
                  <w:sz w:val="19"/>
                  <w:szCs w:val="20"/>
                </w:rPr>
                <m:t>i</m:t>
              </m:r>
            </m:sub>
          </m:sSub>
          <m:r>
            <w:rPr>
              <w:rFonts w:ascii="Calibri" w:hAnsi="Calibri" w:cs="Calibri"/>
              <w:color w:val="20262D"/>
              <w:sz w:val="19"/>
              <w:szCs w:val="20"/>
            </w:rPr>
            <m:t>=</m:t>
          </m:r>
          <m:sSub>
            <m:sSubPr>
              <m:ctrlPr>
                <w:rPr>
                  <w:rFonts w:ascii="Calibri" w:hAnsi="Calibri" w:cs="Calibri"/>
                  <w:i/>
                  <w:color w:val="20262D"/>
                  <w:sz w:val="19"/>
                  <w:szCs w:val="20"/>
                </w:rPr>
              </m:ctrlPr>
            </m:sSubPr>
            <m:e>
              <m:r>
                <w:rPr>
                  <w:rFonts w:ascii="Calibri" w:hAnsi="Calibri" w:cs="Calibri"/>
                  <w:color w:val="20262D"/>
                  <w:sz w:val="19"/>
                  <w:szCs w:val="20"/>
                </w:rPr>
                <m:t>a</m:t>
              </m:r>
            </m:e>
            <m:sub>
              <m:r>
                <w:rPr>
                  <w:rFonts w:ascii="Calibri" w:hAnsi="Calibri" w:cs="Calibri"/>
                  <w:color w:val="20262D"/>
                  <w:sz w:val="19"/>
                  <w:szCs w:val="20"/>
                </w:rPr>
                <m:t>i</m:t>
              </m:r>
            </m:sub>
          </m:sSub>
          <m:r>
            <w:rPr>
              <w:rFonts w:ascii="Calibri" w:hAnsi="Calibri" w:cs="Calibri"/>
              <w:color w:val="20262D"/>
              <w:sz w:val="19"/>
              <w:szCs w:val="20"/>
            </w:rPr>
            <m:t>-</m:t>
          </m:r>
          <m:sSub>
            <m:sSubPr>
              <m:ctrlPr>
                <w:rPr>
                  <w:rFonts w:ascii="Calibri" w:hAnsi="Calibri" w:cs="Calibri"/>
                  <w:i/>
                  <w:color w:val="20262D"/>
                  <w:sz w:val="19"/>
                  <w:szCs w:val="20"/>
                </w:rPr>
              </m:ctrlPr>
            </m:sSubPr>
            <m:e>
              <m:r>
                <w:rPr>
                  <w:rFonts w:ascii="Calibri" w:hAnsi="Calibri" w:cs="Calibri"/>
                  <w:color w:val="20262D"/>
                  <w:sz w:val="19"/>
                  <w:szCs w:val="20"/>
                </w:rPr>
                <m:t>a</m:t>
              </m:r>
            </m:e>
            <m:sub>
              <m:r>
                <w:rPr>
                  <w:rFonts w:ascii="Calibri" w:hAnsi="Calibri" w:cs="Calibri"/>
                  <w:color w:val="20262D"/>
                  <w:sz w:val="19"/>
                  <w:szCs w:val="20"/>
                </w:rPr>
                <m:t>i,t-1</m:t>
              </m:r>
            </m:sub>
          </m:sSub>
        </m:oMath>
      </m:oMathPara>
    </w:p>
    <w:p w14:paraId="259CCCF6"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recompensa individual por motor fue:</w:t>
      </w:r>
    </w:p>
    <w:p w14:paraId="0B6FC6EC" w14:textId="3EC9949D" w:rsidR="00B13780" w:rsidRPr="00084BBB" w:rsidRDefault="00084BBB" w:rsidP="00084BBB">
      <w:pPr>
        <w:pStyle w:val="equation"/>
        <w:spacing w:before="80" w:after="60"/>
        <w:rPr>
          <w:rFonts w:ascii="Calibri" w:hAnsi="Calibri" w:cs="Calibri"/>
          <w:color w:val="20262D"/>
          <w:sz w:val="19"/>
          <w:szCs w:val="20"/>
        </w:rPr>
      </w:pPr>
      <m:oMathPara>
        <m:oMath>
          <m:sSub>
            <m:sSubPr>
              <m:ctrlPr>
                <w:rPr>
                  <w:rFonts w:ascii="Calibri" w:hAnsi="Calibri" w:cs="Calibri"/>
                  <w:i/>
                  <w:color w:val="20262D"/>
                  <w:sz w:val="19"/>
                  <w:szCs w:val="20"/>
                </w:rPr>
              </m:ctrlPr>
            </m:sSubPr>
            <m:e>
              <m:r>
                <w:rPr>
                  <w:rFonts w:ascii="Calibri" w:hAnsi="Calibri" w:cs="Calibri"/>
                  <w:color w:val="20262D"/>
                  <w:sz w:val="19"/>
                  <w:szCs w:val="20"/>
                </w:rPr>
                <m:t>R</m:t>
              </m:r>
            </m:e>
            <m:sub>
              <m:r>
                <w:rPr>
                  <w:rFonts w:ascii="Calibri" w:hAnsi="Calibri" w:cs="Calibri"/>
                  <w:color w:val="20262D"/>
                  <w:sz w:val="19"/>
                  <w:szCs w:val="20"/>
                </w:rPr>
                <m:t>i</m:t>
              </m:r>
            </m:sub>
          </m:sSub>
          <m:r>
            <w:rPr>
              <w:rFonts w:ascii="Calibri" w:hAnsi="Calibri" w:cs="Calibri"/>
              <w:color w:val="20262D"/>
              <w:sz w:val="19"/>
              <w:szCs w:val="20"/>
            </w:rPr>
            <m:t>=-</m:t>
          </m:r>
          <m:d>
            <m:dPr>
              <m:ctrlPr>
                <w:rPr>
                  <w:rFonts w:ascii="Calibri" w:hAnsi="Calibri" w:cs="Calibri"/>
                  <w:i/>
                  <w:color w:val="20262D"/>
                  <w:sz w:val="19"/>
                  <w:szCs w:val="20"/>
                </w:rPr>
              </m:ctrlPr>
            </m:dPr>
            <m:e>
              <m:sSubSup>
                <m:sSubSupPr>
                  <m:ctrlPr>
                    <w:rPr>
                      <w:rFonts w:ascii="Calibri" w:hAnsi="Calibri" w:cs="Calibri"/>
                      <w:i/>
                      <w:color w:val="20262D"/>
                      <w:sz w:val="19"/>
                      <w:szCs w:val="20"/>
                    </w:rPr>
                  </m:ctrlPr>
                </m:sSubSupPr>
                <m:e>
                  <m:r>
                    <w:rPr>
                      <w:rFonts w:ascii="Calibri" w:hAnsi="Calibri" w:cs="Calibri"/>
                      <w:color w:val="20262D"/>
                      <w:sz w:val="19"/>
                      <w:szCs w:val="20"/>
                    </w:rPr>
                    <m:t>e</m:t>
                  </m:r>
                </m:e>
                <m:sub>
                  <m:r>
                    <w:rPr>
                      <w:rFonts w:ascii="Calibri" w:hAnsi="Calibri" w:cs="Calibri"/>
                      <w:color w:val="20262D"/>
                      <w:sz w:val="19"/>
                      <w:szCs w:val="20"/>
                    </w:rPr>
                    <m:t>i</m:t>
                  </m:r>
                </m:sub>
                <m:sup>
                  <m:r>
                    <w:rPr>
                      <w:rFonts w:ascii="Calibri" w:hAnsi="Calibri" w:cs="Calibri"/>
                      <w:color w:val="20262D"/>
                      <w:sz w:val="19"/>
                      <w:szCs w:val="20"/>
                    </w:rPr>
                    <m:t>2</m:t>
                  </m:r>
                </m:sup>
              </m:sSubSup>
              <m:r>
                <w:rPr>
                  <w:rFonts w:ascii="Calibri" w:hAnsi="Calibri" w:cs="Calibri"/>
                  <w:color w:val="20262D"/>
                  <w:sz w:val="19"/>
                  <w:szCs w:val="20"/>
                </w:rPr>
                <m:t>+0.01</m:t>
              </m:r>
              <m:sSubSup>
                <m:sSubSupPr>
                  <m:ctrlPr>
                    <w:rPr>
                      <w:rFonts w:ascii="Calibri" w:hAnsi="Calibri" w:cs="Calibri"/>
                      <w:i/>
                      <w:color w:val="20262D"/>
                      <w:sz w:val="19"/>
                      <w:szCs w:val="20"/>
                    </w:rPr>
                  </m:ctrlPr>
                </m:sSubSupPr>
                <m:e>
                  <m:r>
                    <w:rPr>
                      <w:rFonts w:ascii="Calibri" w:hAnsi="Calibri" w:cs="Calibri"/>
                      <w:color w:val="20262D"/>
                      <w:sz w:val="19"/>
                      <w:szCs w:val="20"/>
                    </w:rPr>
                    <m:t>a</m:t>
                  </m:r>
                </m:e>
                <m:sub>
                  <m:r>
                    <w:rPr>
                      <w:rFonts w:ascii="Calibri" w:hAnsi="Calibri" w:cs="Calibri"/>
                      <w:color w:val="20262D"/>
                      <w:sz w:val="19"/>
                      <w:szCs w:val="20"/>
                    </w:rPr>
                    <m:t>i</m:t>
                  </m:r>
                </m:sub>
                <m:sup>
                  <m:r>
                    <w:rPr>
                      <w:rFonts w:ascii="Calibri" w:hAnsi="Calibri" w:cs="Calibri"/>
                      <w:color w:val="20262D"/>
                      <w:sz w:val="19"/>
                      <w:szCs w:val="20"/>
                    </w:rPr>
                    <m:t>2</m:t>
                  </m:r>
                </m:sup>
              </m:sSubSup>
              <m:r>
                <w:rPr>
                  <w:rFonts w:ascii="Calibri" w:hAnsi="Calibri" w:cs="Calibri"/>
                  <w:color w:val="20262D"/>
                  <w:sz w:val="19"/>
                  <w:szCs w:val="20"/>
                </w:rPr>
                <m:t>+0.05Δ</m:t>
              </m:r>
              <m:sSubSup>
                <m:sSubSupPr>
                  <m:ctrlPr>
                    <w:rPr>
                      <w:rFonts w:ascii="Calibri" w:hAnsi="Calibri" w:cs="Calibri"/>
                      <w:i/>
                      <w:color w:val="20262D"/>
                      <w:sz w:val="19"/>
                      <w:szCs w:val="20"/>
                    </w:rPr>
                  </m:ctrlPr>
                </m:sSubSupPr>
                <m:e>
                  <m:r>
                    <w:rPr>
                      <w:rFonts w:ascii="Calibri" w:hAnsi="Calibri" w:cs="Calibri"/>
                      <w:color w:val="20262D"/>
                      <w:sz w:val="19"/>
                      <w:szCs w:val="20"/>
                    </w:rPr>
                    <m:t>a</m:t>
                  </m:r>
                </m:e>
                <m:sub>
                  <m:r>
                    <w:rPr>
                      <w:rFonts w:ascii="Calibri" w:hAnsi="Calibri" w:cs="Calibri"/>
                      <w:color w:val="20262D"/>
                      <w:sz w:val="19"/>
                      <w:szCs w:val="20"/>
                    </w:rPr>
                    <m:t>i</m:t>
                  </m:r>
                </m:sub>
                <m:sup>
                  <m:r>
                    <w:rPr>
                      <w:rFonts w:ascii="Calibri" w:hAnsi="Calibri" w:cs="Calibri"/>
                      <w:color w:val="20262D"/>
                      <w:sz w:val="19"/>
                      <w:szCs w:val="20"/>
                    </w:rPr>
                    <m:t>2</m:t>
                  </m:r>
                </m:sup>
              </m:sSubSup>
            </m:e>
          </m:d>
        </m:oMath>
      </m:oMathPara>
    </w:p>
    <w:p w14:paraId="5A2EFF22"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recompensa final fue el promedio de los cuatro motores:</w:t>
      </w:r>
    </w:p>
    <w:p w14:paraId="57FEAC6B" w14:textId="17E7BFE4" w:rsidR="00B13780" w:rsidRPr="00084BBB" w:rsidRDefault="00084BBB" w:rsidP="00084BBB">
      <w:pPr>
        <w:pStyle w:val="equation"/>
        <w:spacing w:before="80" w:after="60"/>
        <w:rPr>
          <w:rFonts w:ascii="Calibri" w:hAnsi="Calibri" w:cs="Calibri"/>
          <w:color w:val="20262D"/>
          <w:sz w:val="19"/>
          <w:szCs w:val="20"/>
        </w:rPr>
      </w:pPr>
      <m:oMathPara>
        <m:oMath>
          <m:r>
            <w:rPr>
              <w:rFonts w:ascii="Calibri" w:hAnsi="Calibri" w:cs="Calibri"/>
              <w:color w:val="20262D"/>
              <w:sz w:val="19"/>
              <w:szCs w:val="20"/>
            </w:rPr>
            <m:t>R=</m:t>
          </m:r>
          <m:f>
            <m:fPr>
              <m:ctrlPr>
                <w:rPr>
                  <w:rFonts w:ascii="Calibri" w:hAnsi="Calibri" w:cs="Calibri"/>
                  <w:i/>
                  <w:color w:val="20262D"/>
                  <w:sz w:val="19"/>
                  <w:szCs w:val="20"/>
                </w:rPr>
              </m:ctrlPr>
            </m:fPr>
            <m:num>
              <m:r>
                <w:rPr>
                  <w:rFonts w:ascii="Calibri" w:hAnsi="Calibri" w:cs="Calibri"/>
                  <w:color w:val="20262D"/>
                  <w:sz w:val="19"/>
                  <w:szCs w:val="20"/>
                </w:rPr>
                <m:t>1</m:t>
              </m:r>
            </m:num>
            <m:den>
              <m:r>
                <w:rPr>
                  <w:rFonts w:ascii="Calibri" w:hAnsi="Calibri" w:cs="Calibri"/>
                  <w:color w:val="20262D"/>
                  <w:sz w:val="19"/>
                  <w:szCs w:val="20"/>
                </w:rPr>
                <m:t>4</m:t>
              </m:r>
            </m:den>
          </m:f>
          <m:nary>
            <m:naryPr>
              <m:chr m:val="∑"/>
              <m:ctrlPr>
                <w:rPr>
                  <w:rFonts w:ascii="Calibri" w:hAnsi="Calibri" w:cs="Calibri"/>
                  <w:i/>
                  <w:color w:val="20262D"/>
                  <w:sz w:val="19"/>
                  <w:szCs w:val="20"/>
                </w:rPr>
              </m:ctrlPr>
            </m:naryPr>
            <m:sub>
              <m:r>
                <w:rPr>
                  <w:rFonts w:ascii="Calibri" w:hAnsi="Calibri" w:cs="Calibri"/>
                  <w:color w:val="20262D"/>
                  <w:sz w:val="19"/>
                  <w:szCs w:val="20"/>
                </w:rPr>
                <m:t>i=1</m:t>
              </m:r>
            </m:sub>
            <m:sup>
              <m:r>
                <w:rPr>
                  <w:rFonts w:ascii="Calibri" w:hAnsi="Calibri" w:cs="Calibri"/>
                  <w:color w:val="20262D"/>
                  <w:sz w:val="19"/>
                  <w:szCs w:val="20"/>
                </w:rPr>
                <m:t>4</m:t>
              </m:r>
            </m:sup>
            <m:e>
              <m:sSub>
                <m:sSubPr>
                  <m:ctrlPr>
                    <w:rPr>
                      <w:rFonts w:ascii="Calibri" w:hAnsi="Calibri" w:cs="Calibri"/>
                      <w:i/>
                      <w:color w:val="20262D"/>
                      <w:sz w:val="19"/>
                      <w:szCs w:val="20"/>
                    </w:rPr>
                  </m:ctrlPr>
                </m:sSubPr>
                <m:e>
                  <m:r>
                    <w:rPr>
                      <w:rFonts w:ascii="Calibri" w:hAnsi="Calibri" w:cs="Calibri"/>
                      <w:color w:val="20262D"/>
                      <w:sz w:val="19"/>
                      <w:szCs w:val="20"/>
                    </w:rPr>
                    <m:t>R</m:t>
                  </m:r>
                </m:e>
                <m:sub>
                  <m:r>
                    <w:rPr>
                      <w:rFonts w:ascii="Calibri" w:hAnsi="Calibri" w:cs="Calibri"/>
                      <w:color w:val="20262D"/>
                      <w:sz w:val="19"/>
                      <w:szCs w:val="20"/>
                    </w:rPr>
                    <m:t>i</m:t>
                  </m:r>
                </m:sub>
              </m:sSub>
            </m:e>
          </m:nary>
        </m:oMath>
      </m:oMathPara>
    </w:p>
    <w:p w14:paraId="60296261"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Donde:</w:t>
      </w:r>
    </w:p>
    <w:p w14:paraId="2EB01774" w14:textId="77777777" w:rsidR="00B13780" w:rsidRPr="00084BBB" w:rsidRDefault="00B13780" w:rsidP="00084BBB">
      <w:pPr>
        <w:numPr>
          <w:ilvl w:val="0"/>
          <w:numId w:val="2"/>
        </w:numPr>
        <w:spacing w:before="100" w:beforeAutospacing="1" w:after="60"/>
        <w:rPr>
          <w:rFonts w:ascii="Calibri" w:eastAsia="Times New Roman" w:hAnsi="Calibri" w:cs="Calibri"/>
          <w:color w:val="20262D"/>
          <w:sz w:val="19"/>
          <w:szCs w:val="20"/>
        </w:rPr>
      </w:pPr>
      <w:r w:rsidRPr="00084BBB">
        <w:rPr>
          <w:rStyle w:val="CdigoHTML"/>
          <w:rFonts w:ascii="Calibri" w:hAnsi="Calibri" w:cs="Calibri"/>
          <w:color w:val="20262D"/>
          <w:sz w:val="19"/>
        </w:rPr>
        <w:t>e_i</w:t>
      </w:r>
      <w:r w:rsidRPr="00084BBB">
        <w:rPr>
          <w:rFonts w:ascii="Calibri" w:eastAsia="Times New Roman" w:hAnsi="Calibri" w:cs="Calibri"/>
          <w:color w:val="20262D"/>
          <w:sz w:val="19"/>
          <w:szCs w:val="20"/>
        </w:rPr>
        <w:t xml:space="preserve"> </w:t>
      </w:r>
      <w:r w:rsidRPr="00084BBB">
        <w:rPr>
          <w:rFonts w:ascii="Calibri" w:eastAsia="Times New Roman" w:hAnsi="Calibri" w:cs="Calibri"/>
          <w:color w:val="20262D"/>
          <w:sz w:val="19"/>
          <w:szCs w:val="20"/>
        </w:rPr>
        <w:t>es el error entre respuesta simulada y referencia;</w:t>
      </w:r>
    </w:p>
    <w:p w14:paraId="34808C6A" w14:textId="77777777" w:rsidR="00B13780" w:rsidRPr="00084BBB" w:rsidRDefault="00B13780" w:rsidP="00084BBB">
      <w:pPr>
        <w:numPr>
          <w:ilvl w:val="0"/>
          <w:numId w:val="2"/>
        </w:numPr>
        <w:spacing w:before="100" w:beforeAutospacing="1" w:after="60"/>
        <w:rPr>
          <w:rFonts w:ascii="Calibri" w:eastAsia="Times New Roman" w:hAnsi="Calibri" w:cs="Calibri"/>
          <w:color w:val="20262D"/>
          <w:sz w:val="19"/>
          <w:szCs w:val="20"/>
        </w:rPr>
      </w:pPr>
      <w:r w:rsidRPr="00084BBB">
        <w:rPr>
          <w:rStyle w:val="CdigoHTML"/>
          <w:rFonts w:ascii="Calibri" w:hAnsi="Calibri" w:cs="Calibri"/>
          <w:color w:val="20262D"/>
          <w:sz w:val="19"/>
        </w:rPr>
        <w:t>a_i</w:t>
      </w:r>
      <w:r w:rsidRPr="00084BBB">
        <w:rPr>
          <w:rFonts w:ascii="Calibri" w:eastAsia="Times New Roman" w:hAnsi="Calibri" w:cs="Calibri"/>
          <w:color w:val="20262D"/>
          <w:sz w:val="19"/>
          <w:szCs w:val="20"/>
        </w:rPr>
        <w:t xml:space="preserve"> es la acción efectiva aplicada;</w:t>
      </w:r>
    </w:p>
    <w:p w14:paraId="42979F17" w14:textId="77777777" w:rsidR="00B13780" w:rsidRPr="00084BBB" w:rsidRDefault="00B13780" w:rsidP="00084BBB">
      <w:pPr>
        <w:numPr>
          <w:ilvl w:val="0"/>
          <w:numId w:val="2"/>
        </w:numPr>
        <w:spacing w:before="100" w:beforeAutospacing="1" w:after="60"/>
        <w:rPr>
          <w:rFonts w:ascii="Calibri" w:eastAsia="Times New Roman" w:hAnsi="Calibri" w:cs="Calibri"/>
          <w:color w:val="20262D"/>
          <w:sz w:val="19"/>
          <w:szCs w:val="20"/>
        </w:rPr>
      </w:pPr>
      <w:r w:rsidRPr="00084BBB">
        <w:rPr>
          <w:rStyle w:val="CdigoHTML"/>
          <w:rFonts w:ascii="Calibri" w:hAnsi="Calibri" w:cs="Calibri"/>
          <w:color w:val="20262D"/>
          <w:sz w:val="19"/>
        </w:rPr>
        <w:t>Δa_i</w:t>
      </w:r>
      <w:r w:rsidRPr="00084BBB">
        <w:rPr>
          <w:rFonts w:ascii="Calibri" w:eastAsia="Times New Roman" w:hAnsi="Calibri" w:cs="Calibri"/>
          <w:color w:val="20262D"/>
          <w:sz w:val="19"/>
          <w:szCs w:val="20"/>
        </w:rPr>
        <w:t xml:space="preserve"> penaliza cambios bruscos entre pasos;</w:t>
      </w:r>
    </w:p>
    <w:p w14:paraId="4DBF145D" w14:textId="77777777" w:rsidR="00B13780" w:rsidRPr="00084BBB" w:rsidRDefault="00B13780" w:rsidP="00084BBB">
      <w:pPr>
        <w:numPr>
          <w:ilvl w:val="0"/>
          <w:numId w:val="2"/>
        </w:numPr>
        <w:spacing w:before="100" w:beforeAutospacing="1" w:after="60"/>
        <w:rPr>
          <w:rFonts w:ascii="Calibri" w:eastAsia="Times New Roman" w:hAnsi="Calibri" w:cs="Calibri"/>
          <w:color w:val="20262D"/>
          <w:sz w:val="19"/>
          <w:szCs w:val="20"/>
        </w:rPr>
      </w:pPr>
      <w:r w:rsidRPr="00084BBB">
        <w:rPr>
          <w:rStyle w:val="CdigoHTML"/>
          <w:rFonts w:ascii="Calibri" w:hAnsi="Calibri" w:cs="Calibri"/>
          <w:color w:val="20262D"/>
          <w:sz w:val="19"/>
        </w:rPr>
        <w:t>0.01</w:t>
      </w:r>
      <w:r w:rsidRPr="00084BBB">
        <w:rPr>
          <w:rFonts w:ascii="Calibri" w:eastAsia="Times New Roman" w:hAnsi="Calibri" w:cs="Calibri"/>
          <w:color w:val="20262D"/>
          <w:sz w:val="19"/>
          <w:szCs w:val="20"/>
        </w:rPr>
        <w:t xml:space="preserve"> es el peso del esfuerzo de acción;</w:t>
      </w:r>
    </w:p>
    <w:p w14:paraId="367D19EA" w14:textId="77777777" w:rsidR="00B13780" w:rsidRPr="00084BBB" w:rsidRDefault="00B13780" w:rsidP="00084BBB">
      <w:pPr>
        <w:numPr>
          <w:ilvl w:val="0"/>
          <w:numId w:val="2"/>
        </w:numPr>
        <w:spacing w:before="100" w:beforeAutospacing="1" w:after="60"/>
        <w:rPr>
          <w:rFonts w:ascii="Calibri" w:eastAsia="Times New Roman" w:hAnsi="Calibri" w:cs="Calibri"/>
          <w:color w:val="20262D"/>
          <w:sz w:val="19"/>
          <w:szCs w:val="20"/>
        </w:rPr>
      </w:pPr>
      <w:r w:rsidRPr="00084BBB">
        <w:rPr>
          <w:rStyle w:val="CdigoHTML"/>
          <w:rFonts w:ascii="Calibri" w:hAnsi="Calibri" w:cs="Calibri"/>
          <w:color w:val="20262D"/>
          <w:sz w:val="19"/>
        </w:rPr>
        <w:t>0.05</w:t>
      </w:r>
      <w:r w:rsidRPr="00084BBB">
        <w:rPr>
          <w:rFonts w:ascii="Calibri" w:eastAsia="Times New Roman" w:hAnsi="Calibri" w:cs="Calibri"/>
          <w:color w:val="20262D"/>
          <w:sz w:val="19"/>
          <w:szCs w:val="20"/>
        </w:rPr>
        <w:t xml:space="preserve"> es el peso del cambio de acción.</w:t>
      </w:r>
    </w:p>
    <w:p w14:paraId="7857EF96"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reward también registra </w:t>
      </w:r>
      <w:r w:rsidRPr="00084BBB">
        <w:rPr>
          <w:rStyle w:val="CdigoHTML"/>
          <w:rFonts w:ascii="Calibri" w:hAnsi="Calibri" w:cs="Calibri"/>
          <w:color w:val="20262D"/>
          <w:sz w:val="19"/>
        </w:rPr>
        <w:t>trackingMSE</w:t>
      </w:r>
      <w:r w:rsidRPr="00084BBB">
        <w:rPr>
          <w:rFonts w:ascii="Calibri" w:hAnsi="Calibri" w:cs="Calibri"/>
          <w:color w:val="20262D"/>
          <w:sz w:val="19"/>
          <w:szCs w:val="20"/>
        </w:rPr>
        <w:t xml:space="preserve">, </w:t>
      </w:r>
      <w:r w:rsidRPr="00084BBB">
        <w:rPr>
          <w:rStyle w:val="CdigoHTML"/>
          <w:rFonts w:ascii="Calibri" w:hAnsi="Calibri" w:cs="Calibri"/>
          <w:color w:val="20262D"/>
          <w:sz w:val="19"/>
        </w:rPr>
        <w:t>trackingMAE</w:t>
      </w:r>
      <w:r w:rsidRPr="00084BBB">
        <w:rPr>
          <w:rFonts w:ascii="Calibri" w:hAnsi="Calibri" w:cs="Calibri"/>
          <w:color w:val="20262D"/>
          <w:sz w:val="19"/>
          <w:szCs w:val="20"/>
        </w:rPr>
        <w:t xml:space="preserve">, </w:t>
      </w:r>
      <w:r w:rsidRPr="00084BBB">
        <w:rPr>
          <w:rStyle w:val="CdigoHTML"/>
          <w:rFonts w:ascii="Calibri" w:hAnsi="Calibri" w:cs="Calibri"/>
          <w:color w:val="20262D"/>
          <w:sz w:val="19"/>
        </w:rPr>
        <w:t>actionL2</w:t>
      </w:r>
      <w:r w:rsidRPr="00084BBB">
        <w:rPr>
          <w:rFonts w:ascii="Calibri" w:hAnsi="Calibri" w:cs="Calibri"/>
          <w:color w:val="20262D"/>
          <w:sz w:val="19"/>
          <w:szCs w:val="20"/>
        </w:rPr>
        <w:t xml:space="preserve">, </w:t>
      </w:r>
      <w:r w:rsidRPr="00084BBB">
        <w:rPr>
          <w:rStyle w:val="CdigoHTML"/>
          <w:rFonts w:ascii="Calibri" w:hAnsi="Calibri" w:cs="Calibri"/>
          <w:color w:val="20262D"/>
          <w:sz w:val="19"/>
        </w:rPr>
        <w:t>deltaActionL2</w:t>
      </w:r>
      <w:r w:rsidRPr="00084BBB">
        <w:rPr>
          <w:rFonts w:ascii="Calibri" w:hAnsi="Calibri" w:cs="Calibri"/>
          <w:color w:val="20262D"/>
          <w:sz w:val="19"/>
          <w:szCs w:val="20"/>
        </w:rPr>
        <w:t xml:space="preserve"> y saturación. En esta implementación la saturación se registra cuando </w:t>
      </w:r>
      <w:r w:rsidRPr="00084BBB">
        <w:rPr>
          <w:rStyle w:val="CdigoHTML"/>
          <w:rFonts w:ascii="Calibri" w:hAnsi="Calibri" w:cs="Calibri"/>
          <w:color w:val="20262D"/>
          <w:sz w:val="19"/>
        </w:rPr>
        <w:t>abs(action) &gt;= 0.95</w:t>
      </w:r>
      <w:r w:rsidRPr="00084BBB">
        <w:rPr>
          <w:rFonts w:ascii="Calibri" w:hAnsi="Calibri" w:cs="Calibri"/>
          <w:color w:val="20262D"/>
          <w:sz w:val="19"/>
          <w:szCs w:val="20"/>
        </w:rPr>
        <w:t>, pero no añade una penalización directa a la reward.</w:t>
      </w:r>
    </w:p>
    <w:p w14:paraId="608F3591"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Los pesos específicos por motor presentes en configuració</w:t>
      </w:r>
      <w:r w:rsidRPr="00084BBB">
        <w:rPr>
          <w:rFonts w:ascii="Calibri" w:hAnsi="Calibri" w:cs="Calibri"/>
          <w:color w:val="20262D"/>
          <w:sz w:val="19"/>
          <w:szCs w:val="20"/>
        </w:rPr>
        <w:t xml:space="preserve">n pertenecen a rewards experimentales posteriores. No fueron utilizados por </w:t>
      </w:r>
      <w:r w:rsidRPr="00084BBB">
        <w:rPr>
          <w:rStyle w:val="CdigoHTML"/>
          <w:rFonts w:ascii="Calibri" w:hAnsi="Calibri" w:cs="Calibri"/>
          <w:color w:val="20262D"/>
          <w:sz w:val="19"/>
        </w:rPr>
        <w:t>trackingMseActionRateReward</w:t>
      </w:r>
      <w:r w:rsidRPr="00084BBB">
        <w:rPr>
          <w:rFonts w:ascii="Calibri" w:hAnsi="Calibri" w:cs="Calibri"/>
          <w:color w:val="20262D"/>
          <w:sz w:val="19"/>
          <w:szCs w:val="20"/>
        </w:rPr>
        <w:t xml:space="preserve"> y no forman parte del benchmark oficial.</w:t>
      </w:r>
    </w:p>
    <w:p w14:paraId="7106E10D"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6. Parámetros principales</w:t>
      </w:r>
    </w:p>
    <w:tbl>
      <w:tblPr>
        <w:tblW w:w="5000" w:type="pct"/>
        <w:tblCellMar>
          <w:top w:w="15" w:type="dxa"/>
          <w:left w:w="15" w:type="dxa"/>
          <w:bottom w:w="15" w:type="dxa"/>
          <w:right w:w="15" w:type="dxa"/>
        </w:tblCellMar>
        <w:tblLook w:val="04A0" w:firstRow="1" w:lastRow="0" w:firstColumn="1" w:lastColumn="0" w:noHBand="0" w:noVBand="1"/>
      </w:tblPr>
      <w:tblGrid>
        <w:gridCol w:w="1764"/>
        <w:gridCol w:w="4452"/>
        <w:gridCol w:w="4194"/>
      </w:tblGrid>
      <w:tr w:rsidR="00000000" w:rsidRPr="00084BBB" w14:paraId="76124A49"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2FF4A6B6"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Grupo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57AC58AD"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09D2C668"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Valor</w:t>
            </w:r>
          </w:p>
        </w:tc>
      </w:tr>
      <w:tr w:rsidR="00000000" w:rsidRPr="00084BBB" w14:paraId="2644A97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6B8CFC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B08B9EC"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actionInterfaceVariant</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8D17364"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baselineQuantized</w:t>
            </w:r>
          </w:p>
        </w:tc>
      </w:tr>
      <w:tr w:rsidR="00000000" w:rsidRPr="00084BBB" w14:paraId="7B7EE451"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325B71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8ED88B4"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actionCommandLevels</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BA246B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[0 64 96 128 160 192 224 255]</w:t>
            </w:r>
          </w:p>
        </w:tc>
      </w:tr>
      <w:tr w:rsidR="00000000" w:rsidRPr="00084BBB" w14:paraId="34D0EF3E"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E09E67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lastRenderedPageBreak/>
              <w:t>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CDB6AEC"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Umbral de activación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8A1DE10"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0.05</w:t>
            </w:r>
          </w:p>
        </w:tc>
      </w:tr>
      <w:tr w:rsidR="00000000" w:rsidRPr="00084BBB" w14:paraId="4C11AC4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E76F8C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5331A0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PWM máximo M1-M4</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47949D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[255 255 255 255]</w:t>
            </w:r>
          </w:p>
        </w:tc>
      </w:tr>
      <w:tr w:rsidR="00000000" w:rsidRPr="00084BBB" w14:paraId="25B2009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D0AA8A2"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Estado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CF43952"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encoder2state_scale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0480343"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[26500 11500 8500 9000]</w:t>
            </w:r>
          </w:p>
        </w:tc>
      </w:tr>
      <w:tr w:rsidR="00000000" w:rsidRPr="00084BBB" w14:paraId="2CAE73D2"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8CCDC12"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Flex</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623821F"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flexJoined_scale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B43A219"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[4092 2046 1023 2046]</w:t>
            </w:r>
          </w:p>
        </w:tc>
      </w:tr>
      <w:tr w:rsidR="00000000" w:rsidRPr="00084BBB" w14:paraId="0E072DCD"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B9E17D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Reward</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B05FADC"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Peso de 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F759CA4"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0.01</w:t>
            </w:r>
          </w:p>
        </w:tc>
      </w:tr>
      <w:tr w:rsidR="00000000" w:rsidRPr="00084BBB" w14:paraId="686B409F"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474CC71"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Reward</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FD3E304"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Peso de cambio de acción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EB8F3BD"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0.05</w:t>
            </w:r>
          </w:p>
        </w:tc>
      </w:tr>
      <w:tr w:rsidR="00000000" w:rsidRPr="00084BBB" w14:paraId="36F09E64"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59AFEF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Diagnóstico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634E09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Umbral de saturación registrado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599C392"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0.95</w:t>
            </w:r>
          </w:p>
        </w:tc>
      </w:tr>
      <w:tr w:rsidR="00000000" w:rsidRPr="00084BBB" w14:paraId="5CF96D0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7F940D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038474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Auditoría fase 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A132ED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20 simulaciones</w:t>
            </w:r>
          </w:p>
        </w:tc>
      </w:tr>
      <w:tr w:rsidR="00000000" w:rsidRPr="00084BBB" w14:paraId="513F432A"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7D7E3AE"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046710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Auditoría fase B</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96A620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50 simulaciones</w:t>
            </w:r>
          </w:p>
        </w:tc>
      </w:tr>
      <w:tr w:rsidR="00000000" w:rsidRPr="00084BBB" w14:paraId="47C44F3D"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3008AF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Selección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6DEC326"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Candidatos fase B</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AF157D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5</w:t>
            </w:r>
          </w:p>
        </w:tc>
      </w:tr>
    </w:tbl>
    <w:p w14:paraId="5120B98A"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flujo añadió semillas reproducibles, carpetas separadas por corrida, checkpoints periódicos, auditoría en dos fases, test visual del checkpoint seleccionado, métricas por motor, figuras de entrenamiento y summaries CSV/TXT/MAT. Estas capacidades amplí</w:t>
      </w:r>
      <w:r w:rsidRPr="00084BBB">
        <w:rPr>
          <w:rFonts w:ascii="Calibri" w:hAnsi="Calibri" w:cs="Calibri"/>
          <w:color w:val="20262D"/>
          <w:sz w:val="19"/>
          <w:szCs w:val="20"/>
        </w:rPr>
        <w:t>an la evaluación, pero no cambian los defaults oficiales del benchmark.</w:t>
      </w:r>
    </w:p>
    <w:p w14:paraId="6F7ACFED"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7. Resultados de entrenamiento</w:t>
      </w:r>
    </w:p>
    <w:tbl>
      <w:tblPr>
        <w:tblW w:w="5000" w:type="pct"/>
        <w:tblCellMar>
          <w:top w:w="15" w:type="dxa"/>
          <w:left w:w="15" w:type="dxa"/>
          <w:bottom w:w="15" w:type="dxa"/>
          <w:right w:w="15" w:type="dxa"/>
        </w:tblCellMar>
        <w:tblLook w:val="04A0" w:firstRow="1" w:lastRow="0" w:firstColumn="1" w:lastColumn="0" w:noHBand="0" w:noVBand="1"/>
      </w:tblPr>
      <w:tblGrid>
        <w:gridCol w:w="6910"/>
        <w:gridCol w:w="3500"/>
      </w:tblGrid>
      <w:tr w:rsidR="00000000" w:rsidRPr="00084BBB" w14:paraId="16DE97A3"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5587AD69"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Estado de campaña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511467CA"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Resultado</w:t>
            </w:r>
          </w:p>
        </w:tc>
      </w:tr>
      <w:tr w:rsidR="00000000" w:rsidRPr="00084BBB" w14:paraId="0BD98B0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46C073A"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ConditionA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F5E330E"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w:t>
            </w:r>
          </w:p>
        </w:tc>
      </w:tr>
      <w:tr w:rsidR="00000000" w:rsidRPr="00084BBB" w14:paraId="71429D59"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3B6AD5C"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ConditionB</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2256FE7"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w:t>
            </w:r>
          </w:p>
        </w:tc>
      </w:tr>
      <w:tr w:rsidR="00000000" w:rsidRPr="00084BBB" w14:paraId="25983EAF"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39B5486"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Rejected</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9066688"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5</w:t>
            </w:r>
          </w:p>
        </w:tc>
      </w:tr>
      <w:tr w:rsidR="00000000" w:rsidRPr="00084BBB" w14:paraId="0D44B53E"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CA979CB"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Estado agregado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CB23FC1" w14:textId="77777777" w:rsidR="00B13780" w:rsidRPr="00084BBB" w:rsidRDefault="00B13780" w:rsidP="00084BBB">
            <w:pPr>
              <w:spacing w:before="100"/>
              <w:rPr>
                <w:rFonts w:ascii="Calibri" w:eastAsia="Times New Roman" w:hAnsi="Calibri" w:cs="Calibri"/>
                <w:color w:val="20262D"/>
                <w:sz w:val="16"/>
                <w:szCs w:val="17"/>
              </w:rPr>
            </w:pPr>
            <w:r w:rsidRPr="00084BBB">
              <w:rPr>
                <w:rStyle w:val="Fuerte"/>
                <w:rFonts w:ascii="Calibri" w:eastAsia="Times New Roman" w:hAnsi="Calibri" w:cs="Calibri"/>
                <w:color w:val="20262D"/>
                <w:sz w:val="16"/>
                <w:szCs w:val="17"/>
              </w:rPr>
              <w:t>Rejected</w:t>
            </w:r>
          </w:p>
        </w:tc>
      </w:tr>
      <w:tr w:rsidR="00000000" w:rsidRPr="00084BBB" w14:paraId="78C8F382"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FE9D52E"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Mejor semilla</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8A40E64"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22</w:t>
            </w:r>
          </w:p>
        </w:tc>
      </w:tr>
      <w:tr w:rsidR="00000000" w:rsidRPr="00084BBB" w14:paraId="19432450"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032B29E"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Episodio seleccionado</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3FB42EC"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6900</w:t>
            </w:r>
          </w:p>
        </w:tc>
      </w:tr>
    </w:tbl>
    <w:p w14:paraId="3FD4DCF7" w14:textId="77777777" w:rsidR="00B13780" w:rsidRPr="00084BBB" w:rsidRDefault="00B13780" w:rsidP="00084BBB">
      <w:pPr>
        <w:spacing w:after="60"/>
        <w:rPr>
          <w:rFonts w:ascii="Calibri" w:eastAsia="Times New Roman" w:hAnsi="Calibri" w:cs="Calibri"/>
          <w:vanish/>
          <w:color w:val="20262D"/>
          <w:sz w:val="19"/>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918"/>
        <w:gridCol w:w="2162"/>
        <w:gridCol w:w="4330"/>
      </w:tblGrid>
      <w:tr w:rsidR="00000000" w:rsidRPr="00084BBB" w14:paraId="0F2E8BA8"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642DC9A4"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4B9D9795"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Media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77CD0465"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Desviación estándar</w:t>
            </w:r>
          </w:p>
        </w:tc>
      </w:tr>
      <w:tr w:rsidR="00000000" w:rsidRPr="00084BBB" w14:paraId="2C41C183"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7B07457"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trackingMSE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76BEBF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0.053591</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247818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0.012110</w:t>
            </w:r>
          </w:p>
        </w:tc>
      </w:tr>
      <w:tr w:rsidR="00000000" w:rsidRPr="00084BBB" w14:paraId="7EE6E9B0"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1A97669"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trackingMAE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D30805A"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0.181093</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18B8A6E2"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0.022777</w:t>
            </w:r>
          </w:p>
        </w:tc>
      </w:tr>
      <w:tr w:rsidR="00000000" w:rsidRPr="00084BBB" w14:paraId="28603F1A"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BA010FA"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actionL2</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46B83364"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0.737733</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39864D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0.092318</w:t>
            </w:r>
          </w:p>
        </w:tc>
      </w:tr>
      <w:tr w:rsidR="00000000" w:rsidRPr="00084BBB" w14:paraId="4CCE7245"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F61A37D"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saturationFraction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FC99A2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0.573518</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42A7B7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0.117074</w:t>
            </w:r>
          </w:p>
        </w:tc>
      </w:tr>
      <w:tr w:rsidR="00000000" w:rsidRPr="00084BBB" w14:paraId="4481D32A"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702A134"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deltaActionL2</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AEEFD17"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0.349939</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D7033D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0.224863</w:t>
            </w:r>
          </w:p>
        </w:tc>
      </w:tr>
    </w:tbl>
    <w:p w14:paraId="438EC91A"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mejor checkpoint global correspondió</w:t>
      </w:r>
      <w:r w:rsidRPr="00084BBB">
        <w:rPr>
          <w:rFonts w:ascii="Calibri" w:hAnsi="Calibri" w:cs="Calibri"/>
          <w:color w:val="20262D"/>
          <w:sz w:val="19"/>
          <w:szCs w:val="20"/>
        </w:rPr>
        <w:t xml:space="preserve"> a seed 22, episodio 6900. Obtuvo </w:t>
      </w:r>
      <w:r w:rsidRPr="00084BBB">
        <w:rPr>
          <w:rStyle w:val="CdigoHTML"/>
          <w:rFonts w:ascii="Calibri" w:hAnsi="Calibri" w:cs="Calibri"/>
          <w:color w:val="20262D"/>
          <w:sz w:val="19"/>
        </w:rPr>
        <w:t>trackingMSE = 0.040836</w:t>
      </w:r>
      <w:r w:rsidRPr="00084BBB">
        <w:rPr>
          <w:rFonts w:ascii="Calibri" w:hAnsi="Calibri" w:cs="Calibri"/>
          <w:color w:val="20262D"/>
          <w:sz w:val="19"/>
          <w:szCs w:val="20"/>
        </w:rPr>
        <w:t xml:space="preserve">, pero permaneció </w:t>
      </w:r>
      <w:r w:rsidRPr="00084BBB">
        <w:rPr>
          <w:rStyle w:val="CdigoHTML"/>
          <w:rFonts w:ascii="Calibri" w:hAnsi="Calibri" w:cs="Calibri"/>
          <w:color w:val="20262D"/>
          <w:sz w:val="19"/>
        </w:rPr>
        <w:t>Rejected</w:t>
      </w:r>
      <w:r w:rsidRPr="00084BBB">
        <w:rPr>
          <w:rFonts w:ascii="Calibri" w:hAnsi="Calibri" w:cs="Calibri"/>
          <w:color w:val="20262D"/>
          <w:sz w:val="19"/>
          <w:szCs w:val="20"/>
        </w:rPr>
        <w:t xml:space="preserve"> porque el criterio de aceptación también considera esfuerzo, saturación y comportamiento por motor.</w:t>
      </w:r>
    </w:p>
    <w:p w14:paraId="57C5B1ED"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entrenamiento mostró una mejora rápida durante los primeros episodios, seguida de alta variabilidad entre episodios y semillas. Por esa razón no se seleccionó simplemente el último checkpoint: cada seed pasó por una auditoría rápida y luego por una evaluación completa de los mejores candidatos.</w:t>
      </w:r>
    </w:p>
    <w:p w14:paraId="5647B5E0"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8. Evaluació</w:t>
      </w:r>
      <w:r w:rsidRPr="00084BBB">
        <w:rPr>
          <w:rFonts w:ascii="Calibri" w:eastAsia="Times New Roman" w:hAnsi="Calibri" w:cs="Calibri"/>
        </w:rPr>
        <w:t>n visual del test de 50 episodios</w:t>
      </w:r>
    </w:p>
    <w:p w14:paraId="181937FB"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Después de seleccionar un checkpoint por seed se ejecutó un test final de 50 episodios. La figura utilizada corresponde al episodio 50 de seed 22, el mejor resultado global de la campaña.</w:t>
      </w:r>
    </w:p>
    <w:p w14:paraId="1A85575A"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gráfica MATLAB superpone referencia, respuesta simulada y valores de acción. Una evaluación adecuada debe mostrar que la respuesta acompaña la tendencia de la referencia sin mantener acciones saturadas de forma innecesaria.</w:t>
      </w:r>
    </w:p>
    <w:p w14:paraId="0874CFE5" w14:textId="77777777" w:rsidR="00B13780" w:rsidRPr="00084BBB" w:rsidRDefault="00B13780" w:rsidP="00084BBB">
      <w:pPr>
        <w:spacing w:after="60"/>
        <w:jc w:val="center"/>
        <w:divId w:val="1994410927"/>
        <w:rPr>
          <w:rFonts w:ascii="Calibri" w:eastAsia="Times New Roman" w:hAnsi="Calibri" w:cs="Calibri"/>
          <w:color w:val="20262D"/>
          <w:sz w:val="19"/>
          <w:szCs w:val="20"/>
        </w:rPr>
      </w:pPr>
      <w:r w:rsidRPr="00084BBB">
        <w:rPr>
          <w:rFonts w:ascii="Calibri" w:eastAsia="Times New Roman" w:hAnsi="Calibri" w:cs="Calibri"/>
          <w:noProof/>
          <w:color w:val="20262D"/>
          <w:sz w:val="19"/>
          <w:szCs w:val="20"/>
        </w:rPr>
        <w:drawing>
          <wp:inline distT="0" distB="0" distL="0" distR="0" wp14:anchorId="38223843" wp14:editId="2624AD1D">
            <wp:extent cx="5580000" cy="321002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0000" cy="3210025"/>
                    </a:xfrm>
                    <a:prstGeom prst="rect">
                      <a:avLst/>
                    </a:prstGeom>
                    <a:noFill/>
                    <a:ln>
                      <a:noFill/>
                    </a:ln>
                  </pic:spPr>
                </pic:pic>
              </a:graphicData>
            </a:graphic>
          </wp:inline>
        </w:drawing>
      </w:r>
    </w:p>
    <w:p w14:paraId="04584083" w14:textId="77777777" w:rsidR="00B13780" w:rsidRPr="00084BBB" w:rsidRDefault="00B13780" w:rsidP="00084BBB">
      <w:pPr>
        <w:spacing w:after="60"/>
        <w:jc w:val="center"/>
        <w:divId w:val="607667164"/>
        <w:rPr>
          <w:rFonts w:ascii="Calibri" w:eastAsia="Times New Roman" w:hAnsi="Calibri" w:cs="Calibri"/>
          <w:color w:val="4C5965"/>
          <w:sz w:val="19"/>
          <w:szCs w:val="18"/>
        </w:rPr>
      </w:pPr>
      <w:r w:rsidRPr="00084BBB">
        <w:rPr>
          <w:rFonts w:ascii="Calibri" w:eastAsia="Times New Roman" w:hAnsi="Calibri" w:cs="Calibri"/>
          <w:color w:val="4C5965"/>
          <w:sz w:val="19"/>
          <w:szCs w:val="18"/>
        </w:rPr>
        <w:t>Figura 2. Test visual del episodio 50 para el checkpoint seleccionado de seed 22.</w:t>
      </w:r>
    </w:p>
    <w:p w14:paraId="48AF9D88"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La evaluación visual mostró seguimiento parcial en los motores, pero también diferencias de rango y acciones elevadas. Esta lectura complementa el MSE: una mé</w:t>
      </w:r>
      <w:r w:rsidRPr="00084BBB">
        <w:rPr>
          <w:rFonts w:ascii="Calibri" w:hAnsi="Calibri" w:cs="Calibri"/>
          <w:color w:val="20262D"/>
          <w:sz w:val="19"/>
          <w:szCs w:val="20"/>
        </w:rPr>
        <w:t>trica promedio razonable puede ocultar una respuesta casi plana o una acción alta que produce poco movimiento. M2 quedó identificado como el motor que requería una revisión adicional.</w:t>
      </w:r>
    </w:p>
    <w:p w14:paraId="143B503D"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En fases posteriores se observó que reentrenar desde cero podía degradar otros motores, por lo que se reforzó la evaluación conjunta M1-M4. Esa validación posterior no forma parte de los resultados principales de este benchmark.</w:t>
      </w:r>
    </w:p>
    <w:p w14:paraId="4281E1DE"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9. Comparación con Agent7250</w:t>
      </w:r>
    </w:p>
    <w:tbl>
      <w:tblPr>
        <w:tblW w:w="5000" w:type="pct"/>
        <w:tblCellMar>
          <w:top w:w="15" w:type="dxa"/>
          <w:left w:w="15" w:type="dxa"/>
          <w:bottom w:w="15" w:type="dxa"/>
          <w:right w:w="15" w:type="dxa"/>
        </w:tblCellMar>
        <w:tblLook w:val="04A0" w:firstRow="1" w:lastRow="0" w:firstColumn="1" w:lastColumn="0" w:noHBand="0" w:noVBand="1"/>
      </w:tblPr>
      <w:tblGrid>
        <w:gridCol w:w="4720"/>
        <w:gridCol w:w="2358"/>
        <w:gridCol w:w="3332"/>
      </w:tblGrid>
      <w:tr w:rsidR="00000000" w:rsidRPr="00084BBB" w14:paraId="4014385C" w14:textId="77777777" w:rsidTr="00084BBB">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0BC2D3D9"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4C45E946"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Agent7250</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60" w:type="dxa"/>
              <w:left w:w="60" w:type="dxa"/>
              <w:bottom w:w="60" w:type="dxa"/>
              <w:right w:w="60" w:type="dxa"/>
            </w:tcMar>
            <w:vAlign w:val="center"/>
            <w:hideMark/>
          </w:tcPr>
          <w:p w14:paraId="3112FA2C" w14:textId="77777777" w:rsidR="00B13780" w:rsidRPr="00084BBB" w:rsidRDefault="00B13780" w:rsidP="00084BBB">
            <w:pPr>
              <w:spacing w:before="100"/>
              <w:rPr>
                <w:rFonts w:ascii="Calibri" w:eastAsia="Times New Roman" w:hAnsi="Calibri" w:cs="Calibri"/>
                <w:b/>
                <w:bCs/>
                <w:color w:val="17365D"/>
                <w:sz w:val="16"/>
                <w:szCs w:val="17"/>
              </w:rPr>
            </w:pPr>
            <w:r w:rsidRPr="00084BBB">
              <w:rPr>
                <w:rFonts w:ascii="Calibri" w:eastAsia="Times New Roman" w:hAnsi="Calibri" w:cs="Calibri"/>
                <w:b/>
                <w:bCs/>
                <w:color w:val="17365D"/>
                <w:sz w:val="16"/>
                <w:szCs w:val="17"/>
              </w:rPr>
              <w:t>Campaña nueva</w:t>
            </w:r>
          </w:p>
        </w:tc>
      </w:tr>
      <w:tr w:rsidR="00000000" w:rsidRPr="00084BBB" w14:paraId="4DE8DB94"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2C2FB1C"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trackingMSE</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6D284B45"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0.043045</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DDC77B3"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0.053591</w:t>
            </w:r>
          </w:p>
        </w:tc>
      </w:tr>
      <w:tr w:rsidR="00000000" w:rsidRPr="00084BBB" w14:paraId="6C7CD44B"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93C9687"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saturationFraction</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2467AA1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0.392086</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37F5D1C2"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0.573518</w:t>
            </w:r>
          </w:p>
        </w:tc>
      </w:tr>
      <w:tr w:rsidR="00000000" w:rsidRPr="00084BBB" w14:paraId="0A7F5D00"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BE932C4"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trackingMSE_motor2</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C4D43E0"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0.043548</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B31A479"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0.045047</w:t>
            </w:r>
          </w:p>
        </w:tc>
      </w:tr>
      <w:tr w:rsidR="00000000" w:rsidRPr="00084BBB" w14:paraId="76D96436" w14:textId="77777777" w:rsidTr="00084BBB">
        <w:trPr>
          <w:cantSplit/>
        </w:trPr>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531F6E77" w14:textId="77777777" w:rsidR="00B13780" w:rsidRPr="00084BBB" w:rsidRDefault="00B13780" w:rsidP="00084BBB">
            <w:pPr>
              <w:spacing w:before="100"/>
              <w:rPr>
                <w:rFonts w:ascii="Calibri" w:eastAsia="Times New Roman" w:hAnsi="Calibri" w:cs="Calibri"/>
                <w:color w:val="20262D"/>
                <w:sz w:val="16"/>
                <w:szCs w:val="17"/>
              </w:rPr>
            </w:pPr>
            <w:r w:rsidRPr="00084BBB">
              <w:rPr>
                <w:rStyle w:val="CdigoHTML"/>
                <w:rFonts w:ascii="Calibri" w:hAnsi="Calibri" w:cs="Calibri"/>
                <w:color w:val="20262D"/>
                <w:sz w:val="16"/>
              </w:rPr>
              <w:t>responseRange_motor2</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77DD9E2C"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0.108838</w:t>
            </w:r>
          </w:p>
        </w:tc>
        <w:tc>
          <w:tcPr>
            <w:tcW w:w="0" w:type="auto"/>
            <w:tcBorders>
              <w:top w:val="single" w:sz="6" w:space="0" w:color="AEBDCA"/>
              <w:left w:val="single" w:sz="6" w:space="0" w:color="AEBDCA"/>
              <w:bottom w:val="single" w:sz="6" w:space="0" w:color="AEBDCA"/>
              <w:right w:val="single" w:sz="6" w:space="0" w:color="AEBDCA"/>
            </w:tcBorders>
            <w:tcMar>
              <w:top w:w="60" w:type="dxa"/>
              <w:left w:w="60" w:type="dxa"/>
              <w:bottom w:w="60" w:type="dxa"/>
              <w:right w:w="60" w:type="dxa"/>
            </w:tcMar>
            <w:hideMark/>
          </w:tcPr>
          <w:p w14:paraId="0C0A011D" w14:textId="77777777" w:rsidR="00B13780" w:rsidRPr="00084BBB" w:rsidRDefault="00B13780" w:rsidP="00084BBB">
            <w:pPr>
              <w:spacing w:before="100"/>
              <w:rPr>
                <w:rFonts w:ascii="Calibri" w:eastAsia="Times New Roman" w:hAnsi="Calibri" w:cs="Calibri"/>
                <w:color w:val="20262D"/>
                <w:sz w:val="16"/>
                <w:szCs w:val="17"/>
              </w:rPr>
            </w:pPr>
            <w:r w:rsidRPr="00084BBB">
              <w:rPr>
                <w:rFonts w:ascii="Calibri" w:eastAsia="Times New Roman" w:hAnsi="Calibri" w:cs="Calibri"/>
                <w:color w:val="20262D"/>
                <w:sz w:val="16"/>
                <w:szCs w:val="17"/>
              </w:rPr>
              <w:t>0.140268</w:t>
            </w:r>
          </w:p>
        </w:tc>
      </w:tr>
    </w:tbl>
    <w:p w14:paraId="0CE6720B"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campaña nueva aumentó el rango medio de respuesta de M2, pero empeoró el tracking global, el tracking de M2 y la saturación. Por este motivo no reemplaza a </w:t>
      </w:r>
      <w:r w:rsidRPr="00084BBB">
        <w:rPr>
          <w:rStyle w:val="CdigoHTML"/>
          <w:rFonts w:ascii="Calibri" w:hAnsi="Calibri" w:cs="Calibri"/>
          <w:color w:val="20262D"/>
          <w:sz w:val="19"/>
        </w:rPr>
        <w:t>Agent7250</w:t>
      </w:r>
      <w:r w:rsidRPr="00084BBB">
        <w:rPr>
          <w:rFonts w:ascii="Calibri" w:hAnsi="Calibri" w:cs="Calibri"/>
          <w:color w:val="20262D"/>
          <w:sz w:val="19"/>
          <w:szCs w:val="20"/>
        </w:rPr>
        <w:t>, que se mantiene como referencia histórica.</w:t>
      </w:r>
    </w:p>
    <w:p w14:paraId="7FB1BE60" w14:textId="77777777" w:rsidR="00B13780" w:rsidRPr="00084BBB" w:rsidRDefault="00B13780" w:rsidP="00084BBB">
      <w:pPr>
        <w:spacing w:after="60"/>
        <w:jc w:val="center"/>
        <w:divId w:val="79644331"/>
        <w:rPr>
          <w:rFonts w:ascii="Calibri" w:eastAsia="Times New Roman" w:hAnsi="Calibri" w:cs="Calibri"/>
          <w:color w:val="20262D"/>
          <w:sz w:val="19"/>
          <w:szCs w:val="20"/>
        </w:rPr>
      </w:pPr>
      <w:r w:rsidRPr="00084BBB">
        <w:rPr>
          <w:rFonts w:ascii="Calibri" w:eastAsia="Times New Roman" w:hAnsi="Calibri" w:cs="Calibri"/>
          <w:noProof/>
          <w:color w:val="20262D"/>
          <w:sz w:val="19"/>
          <w:szCs w:val="20"/>
        </w:rPr>
        <w:drawing>
          <wp:inline distT="0" distB="0" distL="0" distR="0" wp14:anchorId="776117A5" wp14:editId="2E30EDEF">
            <wp:extent cx="5580000" cy="3540560"/>
            <wp:effectExtent l="0" t="0" r="190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0000" cy="3540560"/>
                    </a:xfrm>
                    <a:prstGeom prst="rect">
                      <a:avLst/>
                    </a:prstGeom>
                    <a:noFill/>
                    <a:ln>
                      <a:noFill/>
                    </a:ln>
                  </pic:spPr>
                </pic:pic>
              </a:graphicData>
            </a:graphic>
          </wp:inline>
        </w:drawing>
      </w:r>
    </w:p>
    <w:p w14:paraId="60E1536C" w14:textId="77777777" w:rsidR="00B13780" w:rsidRPr="00084BBB" w:rsidRDefault="00B13780" w:rsidP="00084BBB">
      <w:pPr>
        <w:spacing w:after="60"/>
        <w:jc w:val="center"/>
        <w:divId w:val="549414072"/>
        <w:rPr>
          <w:rFonts w:ascii="Calibri" w:eastAsia="Times New Roman" w:hAnsi="Calibri" w:cs="Calibri"/>
          <w:color w:val="4C5965"/>
          <w:sz w:val="19"/>
          <w:szCs w:val="18"/>
        </w:rPr>
      </w:pPr>
      <w:r w:rsidRPr="00084BBB">
        <w:rPr>
          <w:rFonts w:ascii="Calibri" w:eastAsia="Times New Roman" w:hAnsi="Calibri" w:cs="Calibri"/>
          <w:color w:val="4C5965"/>
          <w:sz w:val="19"/>
          <w:szCs w:val="18"/>
        </w:rPr>
        <w:t>Figura 3. Comparación de métricas entre Agent7250, la mejor seed y la media de campaña.</w:t>
      </w:r>
    </w:p>
    <w:p w14:paraId="3F4A3B76"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figura también incluye </w:t>
      </w:r>
      <w:r w:rsidRPr="00084BBB">
        <w:rPr>
          <w:rStyle w:val="CdigoHTML"/>
          <w:rFonts w:ascii="Calibri" w:hAnsi="Calibri" w:cs="Calibri"/>
          <w:color w:val="20262D"/>
          <w:sz w:val="19"/>
        </w:rPr>
        <w:t>Agent1850</w:t>
      </w:r>
      <w:r w:rsidRPr="00084BBB">
        <w:rPr>
          <w:rFonts w:ascii="Calibri" w:hAnsi="Calibri" w:cs="Calibri"/>
          <w:color w:val="20262D"/>
          <w:sz w:val="19"/>
          <w:szCs w:val="20"/>
        </w:rPr>
        <w:t xml:space="preserve"> como referencia histórica de otro experimento. Esa referencia no corresponde a la línea activa y no modifica la conclusión del benchmark base.</w:t>
      </w:r>
    </w:p>
    <w:p w14:paraId="1DD806EB"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10. Hallazgo breve sobre motor 2</w:t>
      </w:r>
    </w:p>
    <w:p w14:paraId="038E322D"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El diagnóstico por motor mostró que M2 era el componente más débil del benchmark base. En tres de las cinco seeds se activaron </w:t>
      </w:r>
      <w:r w:rsidRPr="00084BBB">
        <w:rPr>
          <w:rStyle w:val="CdigoHTML"/>
          <w:rFonts w:ascii="Calibri" w:hAnsi="Calibri" w:cs="Calibri"/>
          <w:color w:val="20262D"/>
          <w:sz w:val="19"/>
        </w:rPr>
        <w:t>motor2_flat_response</w:t>
      </w:r>
      <w:r w:rsidRPr="00084BBB">
        <w:rPr>
          <w:rFonts w:ascii="Calibri" w:hAnsi="Calibri" w:cs="Calibri"/>
          <w:color w:val="20262D"/>
          <w:sz w:val="19"/>
          <w:szCs w:val="20"/>
        </w:rPr>
        <w:t xml:space="preserve"> y </w:t>
      </w:r>
      <w:r w:rsidRPr="00084BBB">
        <w:rPr>
          <w:rStyle w:val="CdigoHTML"/>
          <w:rFonts w:ascii="Calibri" w:hAnsi="Calibri" w:cs="Calibri"/>
          <w:color w:val="20262D"/>
          <w:sz w:val="19"/>
        </w:rPr>
        <w:t>motor2_action_no_motion</w:t>
      </w:r>
      <w:r w:rsidRPr="00084BBB">
        <w:rPr>
          <w:rFonts w:ascii="Calibri" w:hAnsi="Calibri" w:cs="Calibri"/>
          <w:color w:val="20262D"/>
          <w:sz w:val="19"/>
          <w:szCs w:val="20"/>
        </w:rPr>
        <w:t xml:space="preserve">. La media fue </w:t>
      </w:r>
      <w:r w:rsidRPr="00084BBB">
        <w:rPr>
          <w:rStyle w:val="CdigoHTML"/>
          <w:rFonts w:ascii="Calibri" w:hAnsi="Calibri" w:cs="Calibri"/>
          <w:color w:val="20262D"/>
          <w:sz w:val="19"/>
        </w:rPr>
        <w:t>trackingMSE_motor2 = 0.045047</w:t>
      </w:r>
      <w:r w:rsidRPr="00084BBB">
        <w:rPr>
          <w:rFonts w:ascii="Calibri" w:hAnsi="Calibri" w:cs="Calibri"/>
          <w:color w:val="20262D"/>
          <w:sz w:val="19"/>
          <w:szCs w:val="20"/>
        </w:rPr>
        <w:t xml:space="preserve"> y </w:t>
      </w:r>
      <w:r w:rsidRPr="00084BBB">
        <w:rPr>
          <w:rStyle w:val="CdigoHTML"/>
          <w:rFonts w:ascii="Calibri" w:hAnsi="Calibri" w:cs="Calibri"/>
          <w:color w:val="20262D"/>
          <w:sz w:val="19"/>
        </w:rPr>
        <w:t>responseRange_motor2 = 0.140268</w:t>
      </w:r>
      <w:r w:rsidRPr="00084BBB">
        <w:rPr>
          <w:rFonts w:ascii="Calibri" w:hAnsi="Calibri" w:cs="Calibri"/>
          <w:color w:val="20262D"/>
          <w:sz w:val="19"/>
          <w:szCs w:val="20"/>
        </w:rPr>
        <w:t>.</w:t>
      </w:r>
    </w:p>
    <w:p w14:paraId="0127A2CC"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Se observó que podía existir acción y movimiento de encoder sin una respuesta flex útil proporcional. Esto justificó revisar posteriormente la conversió</w:t>
      </w:r>
      <w:r w:rsidRPr="00084BBB">
        <w:rPr>
          <w:rFonts w:ascii="Calibri" w:hAnsi="Calibri" w:cs="Calibri"/>
          <w:color w:val="20262D"/>
          <w:sz w:val="19"/>
          <w:szCs w:val="20"/>
        </w:rPr>
        <w:t>n encoder-flex y los flags funcionales. Esas correcciones pertenecen a una fase posterior y no forman parte del entrenamiento benchmark base descrito aquí.</w:t>
      </w:r>
    </w:p>
    <w:p w14:paraId="689D134B"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11. Conclusión técnica</w:t>
      </w:r>
    </w:p>
    <w:p w14:paraId="6CFA245F"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benchmark TD3 base se entrenó de forma reproducible con cinco seeds, 12000 episodios por seed y 60000 episodios acumulados. Se incorporaron checkpoints periódicos, auditoría en dos fases, test final de 50 episodios, figuras de entrenamiento y métricas globales y por motor.</w:t>
      </w:r>
    </w:p>
    <w:p w14:paraId="53524D0B"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campaña no superó a </w:t>
      </w:r>
      <w:r w:rsidRPr="00084BBB">
        <w:rPr>
          <w:rStyle w:val="CdigoHTML"/>
          <w:rFonts w:ascii="Calibri" w:hAnsi="Calibri" w:cs="Calibri"/>
          <w:color w:val="20262D"/>
          <w:sz w:val="19"/>
        </w:rPr>
        <w:t>Agent7250</w:t>
      </w:r>
      <w:r w:rsidRPr="00084BBB">
        <w:rPr>
          <w:rFonts w:ascii="Calibri" w:hAnsi="Calibri" w:cs="Calibri"/>
          <w:color w:val="20262D"/>
          <w:sz w:val="19"/>
          <w:szCs w:val="20"/>
        </w:rPr>
        <w:t xml:space="preserve">. Su media presentó </w:t>
      </w:r>
      <w:r w:rsidRPr="00084BBB">
        <w:rPr>
          <w:rFonts w:ascii="Calibri" w:hAnsi="Calibri" w:cs="Calibri"/>
          <w:color w:val="20262D"/>
          <w:sz w:val="19"/>
          <w:szCs w:val="20"/>
        </w:rPr>
        <w:t xml:space="preserve">mayor </w:t>
      </w:r>
      <w:r w:rsidRPr="00084BBB">
        <w:rPr>
          <w:rStyle w:val="CdigoHTML"/>
          <w:rFonts w:ascii="Calibri" w:hAnsi="Calibri" w:cs="Calibri"/>
          <w:color w:val="20262D"/>
          <w:sz w:val="19"/>
        </w:rPr>
        <w:t>trackingMSE</w:t>
      </w:r>
      <w:r w:rsidRPr="00084BBB">
        <w:rPr>
          <w:rFonts w:ascii="Calibri" w:hAnsi="Calibri" w:cs="Calibri"/>
          <w:color w:val="20262D"/>
          <w:sz w:val="19"/>
          <w:szCs w:val="20"/>
        </w:rPr>
        <w:t xml:space="preserve"> y mayor saturación, y las cinco seeds quedaron </w:t>
      </w:r>
      <w:r w:rsidRPr="00084BBB">
        <w:rPr>
          <w:rStyle w:val="CdigoHTML"/>
          <w:rFonts w:ascii="Calibri" w:hAnsi="Calibri" w:cs="Calibri"/>
          <w:color w:val="20262D"/>
          <w:sz w:val="19"/>
        </w:rPr>
        <w:t>Rejected</w:t>
      </w:r>
      <w:r w:rsidRPr="00084BBB">
        <w:rPr>
          <w:rFonts w:ascii="Calibri" w:hAnsi="Calibri" w:cs="Calibri"/>
          <w:color w:val="20262D"/>
          <w:sz w:val="19"/>
          <w:szCs w:val="20"/>
        </w:rPr>
        <w:t>. Aunque seed 22 produjo un checkpoint con tracking competitivo, no cumplió el criterio conjunto de aceptación.</w:t>
      </w:r>
    </w:p>
    <w:p w14:paraId="176274A4"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La conclusión es mantener </w:t>
      </w:r>
      <w:r w:rsidRPr="00084BBB">
        <w:rPr>
          <w:rStyle w:val="CdigoHTML"/>
          <w:rFonts w:ascii="Calibri" w:hAnsi="Calibri" w:cs="Calibri"/>
          <w:color w:val="20262D"/>
          <w:sz w:val="19"/>
        </w:rPr>
        <w:t>Agent7250</w:t>
      </w:r>
      <w:r w:rsidRPr="00084BBB">
        <w:rPr>
          <w:rFonts w:ascii="Calibri" w:hAnsi="Calibri" w:cs="Calibri"/>
          <w:color w:val="20262D"/>
          <w:sz w:val="19"/>
          <w:szCs w:val="20"/>
        </w:rPr>
        <w:t xml:space="preserve"> como referencia histórica y no promover la nueva campaña como benchmark oficial. El motor 2 queda como hallazgo técnico a resolver antes de considerar otra campaña extensa o una validación física.</w:t>
      </w:r>
    </w:p>
    <w:p w14:paraId="372182A8"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12. Próximo paso sugerido</w:t>
      </w:r>
    </w:p>
    <w:p w14:paraId="1B9E4106"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siguiente paso debe ser una revisión corta y controlada:</w:t>
      </w:r>
    </w:p>
    <w:p w14:paraId="21313C6D" w14:textId="77777777" w:rsidR="00B13780" w:rsidRPr="00084BBB" w:rsidRDefault="00B13780" w:rsidP="00084BBB">
      <w:pPr>
        <w:numPr>
          <w:ilvl w:val="0"/>
          <w:numId w:val="3"/>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Revisar los episodios de test donde M2 presenta respuesta plana.</w:t>
      </w:r>
    </w:p>
    <w:p w14:paraId="78E7F2BE" w14:textId="77777777" w:rsidR="00B13780" w:rsidRPr="00084BBB" w:rsidRDefault="00B13780" w:rsidP="00084BBB">
      <w:pPr>
        <w:numPr>
          <w:ilvl w:val="0"/>
          <w:numId w:val="3"/>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Comparar referencia, respuesta, acción y saturación por motor.</w:t>
      </w:r>
    </w:p>
    <w:p w14:paraId="7558585C" w14:textId="77777777" w:rsidR="00B13780" w:rsidRPr="00084BBB" w:rsidRDefault="00B13780" w:rsidP="00084BBB">
      <w:pPr>
        <w:numPr>
          <w:ilvl w:val="0"/>
          <w:numId w:val="3"/>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Confirmar que cualquier mejora de M2 no degrade M1, M3 o M4.</w:t>
      </w:r>
    </w:p>
    <w:p w14:paraId="5942ACA5" w14:textId="77777777" w:rsidR="00B13780" w:rsidRPr="00084BBB" w:rsidRDefault="00B13780" w:rsidP="00084BBB">
      <w:pPr>
        <w:numPr>
          <w:ilvl w:val="0"/>
          <w:numId w:val="3"/>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Mantener los defaults del benchmark sin cambios durante el diagnóstico.</w:t>
      </w:r>
    </w:p>
    <w:p w14:paraId="6DE60D15" w14:textId="77777777" w:rsidR="00B13780" w:rsidRPr="00084BBB" w:rsidRDefault="00B13780" w:rsidP="00084BBB">
      <w:pPr>
        <w:numPr>
          <w:ilvl w:val="0"/>
          <w:numId w:val="3"/>
        </w:numPr>
        <w:spacing w:before="100" w:beforeAutospacing="1" w:after="60"/>
        <w:rPr>
          <w:rFonts w:ascii="Calibri" w:eastAsia="Times New Roman" w:hAnsi="Calibri" w:cs="Calibri"/>
          <w:color w:val="20262D"/>
          <w:sz w:val="19"/>
          <w:szCs w:val="20"/>
        </w:rPr>
      </w:pPr>
      <w:r w:rsidRPr="00084BBB">
        <w:rPr>
          <w:rFonts w:ascii="Calibri" w:eastAsia="Times New Roman" w:hAnsi="Calibri" w:cs="Calibri"/>
          <w:color w:val="20262D"/>
          <w:sz w:val="19"/>
          <w:szCs w:val="20"/>
        </w:rPr>
        <w:t>No activar hardware ni lanzar otra campaña larga hasta obtener</w:t>
      </w:r>
    </w:p>
    <w:p w14:paraId="2D90C1FC"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aceptación conjunta M1-M4.</w:t>
      </w:r>
    </w:p>
    <w:p w14:paraId="256EB4FE"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El trabajo posterior puede estudiar conversión, thresholds o correcciones locales, pero debe documentarse separado del benchmark base.</w:t>
      </w:r>
    </w:p>
    <w:p w14:paraId="232242F3" w14:textId="77777777" w:rsidR="00B13780" w:rsidRPr="00084BBB" w:rsidRDefault="00B13780" w:rsidP="00084BBB">
      <w:pPr>
        <w:pStyle w:val="Ttulo1"/>
        <w:spacing w:before="140" w:after="60"/>
        <w:rPr>
          <w:rFonts w:ascii="Calibri" w:eastAsia="Times New Roman" w:hAnsi="Calibri" w:cs="Calibri"/>
        </w:rPr>
      </w:pPr>
      <w:r w:rsidRPr="00084BBB">
        <w:rPr>
          <w:rFonts w:ascii="Calibri" w:eastAsia="Times New Roman" w:hAnsi="Calibri" w:cs="Calibri"/>
        </w:rPr>
        <w:t>Anexo A. Comandos principales</w:t>
      </w:r>
    </w:p>
    <w:p w14:paraId="746F3379" w14:textId="77777777" w:rsidR="00B13780" w:rsidRPr="00084BBB" w:rsidRDefault="00B13780" w:rsidP="00084BBB">
      <w:pPr>
        <w:pStyle w:val="Ttulo2"/>
        <w:spacing w:before="100" w:after="40"/>
        <w:rPr>
          <w:rFonts w:ascii="Calibri" w:eastAsia="Times New Roman" w:hAnsi="Calibri" w:cs="Calibri"/>
        </w:rPr>
      </w:pPr>
      <w:r w:rsidRPr="00084BBB">
        <w:rPr>
          <w:rFonts w:ascii="Calibri" w:eastAsia="Times New Roman" w:hAnsi="Calibri" w:cs="Calibri"/>
        </w:rPr>
        <w:t>A.1 Benchmark base</w:t>
      </w:r>
    </w:p>
    <w:p w14:paraId="6916A8EF" w14:textId="77777777" w:rsidR="00B13780" w:rsidRPr="00084BBB" w:rsidRDefault="00B13780" w:rsidP="00084BBB">
      <w:pPr>
        <w:pStyle w:val="NormalWeb"/>
        <w:spacing w:after="60"/>
        <w:rPr>
          <w:rFonts w:ascii="Calibri" w:hAnsi="Calibri" w:cs="Calibri"/>
          <w:color w:val="20262D"/>
          <w:sz w:val="19"/>
          <w:szCs w:val="20"/>
        </w:rPr>
      </w:pPr>
      <w:r w:rsidRPr="00084BBB">
        <w:rPr>
          <w:rFonts w:ascii="Calibri" w:hAnsi="Calibri" w:cs="Calibri"/>
          <w:color w:val="20262D"/>
          <w:sz w:val="19"/>
          <w:szCs w:val="20"/>
        </w:rPr>
        <w:t xml:space="preserve">Desde </w:t>
      </w:r>
      <w:r w:rsidRPr="00084BBB">
        <w:rPr>
          <w:rStyle w:val="CdigoHTML"/>
          <w:rFonts w:ascii="Calibri" w:hAnsi="Calibri" w:cs="Calibri"/>
          <w:color w:val="20262D"/>
          <w:sz w:val="19"/>
        </w:rPr>
        <w:t>matlab_code/</w:t>
      </w:r>
      <w:r w:rsidRPr="00084BBB">
        <w:rPr>
          <w:rFonts w:ascii="Calibri" w:hAnsi="Calibri" w:cs="Calibri"/>
          <w:color w:val="20262D"/>
          <w:sz w:val="19"/>
          <w:szCs w:val="20"/>
        </w:rPr>
        <w:t>:</w:t>
      </w:r>
    </w:p>
    <w:p w14:paraId="255BBBF5"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cd('C:/ruta/al/repo/ProtesisPracticas/EMG_Prosthesis_TD3/matlab_code')</w:t>
      </w:r>
    </w:p>
    <w:p w14:paraId="4B466565"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addpath(genpath(pwd))</w:t>
      </w:r>
    </w:p>
    <w:p w14:paraId="66ACA0CA"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clearConfigurablesOverride()</w:t>
      </w:r>
    </w:p>
    <w:p w14:paraId="07A16211" w14:textId="77777777" w:rsidR="00B13780" w:rsidRPr="00084BBB" w:rsidRDefault="00B13780" w:rsidP="00084BBB">
      <w:pPr>
        <w:pStyle w:val="HTMLconformatoprevio"/>
        <w:spacing w:after="60"/>
        <w:rPr>
          <w:rFonts w:ascii="Calibri" w:hAnsi="Calibri" w:cs="Calibri"/>
          <w:color w:val="20262D"/>
          <w:sz w:val="19"/>
        </w:rPr>
      </w:pPr>
    </w:p>
    <w:p w14:paraId="553BE33E"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results = run_benchmark_td3_seeded_retrain_motor2_diagnostic(struct( ...</w:t>
      </w:r>
    </w:p>
    <w:p w14:paraId="75899CC8"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'seeds', [11 22 33 44 55], ...</w:t>
      </w:r>
    </w:p>
    <w:p w14:paraId="3B50AE00"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'trainingEpisodes', 12000, ...</w:t>
      </w:r>
    </w:p>
    <w:p w14:paraId="21300DE5"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'trainingSaveEvery', 100, ...</w:t>
      </w:r>
    </w:p>
    <w:p w14:paraId="4B91C024"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'episodeSaveFreq', 100, ...</w:t>
      </w:r>
    </w:p>
    <w:p w14:paraId="3184F687"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'auditFastSimulations', 20, ...</w:t>
      </w:r>
    </w:p>
    <w:p w14:paraId="54F25D87"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'auditFullSimulations', 50, ...</w:t>
      </w:r>
    </w:p>
    <w:p w14:paraId="70FADEA1"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'auditTopK', 5, ...</w:t>
      </w:r>
    </w:p>
    <w:p w14:paraId="633BB77A"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w:t>
      </w:r>
      <w:r w:rsidRPr="00084BBB">
        <w:rPr>
          <w:rFonts w:ascii="Calibri" w:hAnsi="Calibri" w:cs="Calibri"/>
          <w:color w:val="20262D"/>
          <w:sz w:val="19"/>
        </w:rPr>
        <w:t>finalTestEpisodes', 50, ...</w:t>
      </w:r>
    </w:p>
    <w:p w14:paraId="04FAC03B"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'plotEpisodeOnTest', true, ...</w:t>
      </w:r>
    </w:p>
    <w:p w14:paraId="22AD430B"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'useGpu', true, ...</w:t>
      </w:r>
    </w:p>
    <w:p w14:paraId="6BF1CBE5"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 xml:space="preserve">    'runMotor2SanityCheck', true));</w:t>
      </w:r>
    </w:p>
    <w:p w14:paraId="3627F44C" w14:textId="77777777" w:rsidR="00B13780" w:rsidRPr="00084BBB" w:rsidRDefault="00B13780" w:rsidP="00084BBB">
      <w:pPr>
        <w:pStyle w:val="Ttulo2"/>
        <w:spacing w:before="100" w:after="40"/>
        <w:rPr>
          <w:rFonts w:ascii="Calibri" w:eastAsia="Times New Roman" w:hAnsi="Calibri" w:cs="Calibri"/>
        </w:rPr>
      </w:pPr>
      <w:r w:rsidRPr="00084BBB">
        <w:rPr>
          <w:rFonts w:ascii="Calibri" w:eastAsia="Times New Roman" w:hAnsi="Calibri" w:cs="Calibri"/>
        </w:rPr>
        <w:t>A.2 Revisión de resultados</w:t>
      </w:r>
    </w:p>
    <w:p w14:paraId="35D3D4DD"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results.summaryRoot</w:t>
      </w:r>
    </w:p>
    <w:p w14:paraId="1A99E02E"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results.figuresRoot</w:t>
      </w:r>
    </w:p>
    <w:p w14:paraId="1C39F98A" w14:textId="77777777" w:rsidR="00B13780" w:rsidRPr="00084BBB" w:rsidRDefault="00B13780" w:rsidP="00084BBB">
      <w:pPr>
        <w:pStyle w:val="HTMLconformatoprevio"/>
        <w:spacing w:after="60"/>
        <w:rPr>
          <w:rFonts w:ascii="Calibri" w:hAnsi="Calibri" w:cs="Calibri"/>
          <w:color w:val="20262D"/>
          <w:sz w:val="19"/>
        </w:rPr>
      </w:pPr>
      <w:r w:rsidRPr="00084BBB">
        <w:rPr>
          <w:rFonts w:ascii="Calibri" w:hAnsi="Calibri" w:cs="Calibri"/>
          <w:color w:val="20262D"/>
          <w:sz w:val="19"/>
        </w:rPr>
        <w:t>results.perSeedTable</w:t>
      </w:r>
    </w:p>
    <w:sectPr w:rsidR="00B13780" w:rsidRPr="00084BBB" w:rsidSect="00084BBB">
      <w:headerReference w:type="even" r:id="rId10"/>
      <w:headerReference w:type="default" r:id="rId11"/>
      <w:footerReference w:type="even" r:id="rId12"/>
      <w:footerReference w:type="default" r:id="rId13"/>
      <w:headerReference w:type="first" r:id="rId14"/>
      <w:footerReference w:type="first" r:id="rId15"/>
      <w:pgSz w:w="12240" w:h="15840"/>
      <w:pgMar w:top="907" w:right="907" w:bottom="907" w:left="90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4CF7" w14:textId="77777777" w:rsidR="00B13780" w:rsidRDefault="00B13780" w:rsidP="00084BBB">
      <w:r>
        <w:separator/>
      </w:r>
    </w:p>
  </w:endnote>
  <w:endnote w:type="continuationSeparator" w:id="0">
    <w:p w14:paraId="3AEFB309" w14:textId="77777777" w:rsidR="00B13780" w:rsidRDefault="00B13780" w:rsidP="0008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CE2E" w14:textId="77777777" w:rsidR="00084BBB" w:rsidRDefault="00084B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29F7" w14:textId="5D552976" w:rsidR="00084BBB" w:rsidRPr="00084BBB" w:rsidRDefault="00084BBB" w:rsidP="00084BBB">
    <w:pPr>
      <w:pStyle w:val="Piedepgina"/>
      <w:jc w:val="center"/>
      <w:rPr>
        <w:rFonts w:ascii="Calibri" w:hAnsi="Calibri" w:cs="Calibri"/>
        <w:sz w:val="16"/>
      </w:rPr>
    </w:pPr>
    <w:r w:rsidRPr="00084BBB">
      <w:rPr>
        <w:rFonts w:ascii="Calibri" w:hAnsi="Calibri" w:cs="Calibri"/>
        <w:sz w:val="16"/>
      </w:rPr>
      <w:t>Avance tÃ©cnico del benchmark base TD3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2A2F" w14:textId="77777777" w:rsidR="00084BBB" w:rsidRDefault="00084B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363A" w14:textId="77777777" w:rsidR="00B13780" w:rsidRDefault="00B13780" w:rsidP="00084BBB">
      <w:r>
        <w:separator/>
      </w:r>
    </w:p>
  </w:footnote>
  <w:footnote w:type="continuationSeparator" w:id="0">
    <w:p w14:paraId="2BD687BD" w14:textId="77777777" w:rsidR="00B13780" w:rsidRDefault="00B13780" w:rsidP="00084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2BD7" w14:textId="77777777" w:rsidR="00084BBB" w:rsidRDefault="00084B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AEA5" w14:textId="77777777" w:rsidR="00084BBB" w:rsidRDefault="00084BB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EA1" w14:textId="77777777" w:rsidR="00084BBB" w:rsidRDefault="00084B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717A0"/>
    <w:multiLevelType w:val="multilevel"/>
    <w:tmpl w:val="E958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C038C2"/>
    <w:multiLevelType w:val="multilevel"/>
    <w:tmpl w:val="790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D463C"/>
    <w:multiLevelType w:val="multilevel"/>
    <w:tmpl w:val="3920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731240">
    <w:abstractNumId w:val="0"/>
  </w:num>
  <w:num w:numId="2" w16cid:durableId="321008057">
    <w:abstractNumId w:val="1"/>
  </w:num>
  <w:num w:numId="3" w16cid:durableId="3848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4BBB"/>
    <w:rsid w:val="00084BBB"/>
    <w:rsid w:val="00A56D58"/>
    <w:rsid w:val="00B137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B958F"/>
  <w15:chartTrackingRefBased/>
  <w15:docId w15:val="{26905003-8066-4458-83C7-006BB5A5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Bdr>
        <w:bottom w:val="single" w:sz="6" w:space="2" w:color="7891AA"/>
      </w:pBdr>
      <w:spacing w:before="220" w:after="100"/>
      <w:outlineLvl w:val="0"/>
    </w:pPr>
    <w:rPr>
      <w:b/>
      <w:bCs/>
      <w:color w:val="17365D"/>
      <w:kern w:val="36"/>
      <w:sz w:val="30"/>
      <w:szCs w:val="30"/>
    </w:rPr>
  </w:style>
  <w:style w:type="paragraph" w:styleId="Ttulo2">
    <w:name w:val="heading 2"/>
    <w:basedOn w:val="Normal"/>
    <w:link w:val="Ttulo2Car"/>
    <w:uiPriority w:val="9"/>
    <w:qFormat/>
    <w:pPr>
      <w:keepNext/>
      <w:spacing w:before="160" w:after="80"/>
      <w:outlineLvl w:val="1"/>
    </w:pPr>
    <w:rPr>
      <w:b/>
      <w:bCs/>
      <w:color w:val="234F7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7"/>
      <w:szCs w:val="17"/>
      <w:shd w:val="clear" w:color="auto" w:fill="EEF2F5"/>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styleId="HTMLconformatoprevio">
    <w:name w:val="HTML Preformatted"/>
    <w:basedOn w:val="Normal"/>
    <w:link w:val="HTMLconformatoprevioCar"/>
    <w:uiPriority w:val="99"/>
    <w:semiHidden/>
    <w:unhideWhenUsed/>
    <w:pPr>
      <w:pBdr>
        <w:left w:val="single" w:sz="18" w:space="6" w:color="5B9BD5"/>
      </w:pBdr>
      <w:shd w:val="clear" w:color="auto" w:fill="F1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40"/>
    </w:pPr>
    <w:rPr>
      <w:rFonts w:ascii="Consolas" w:hAnsi="Consolas" w:cs="Courier New"/>
      <w:sz w:val="16"/>
      <w:szCs w:val="16"/>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80"/>
      <w:jc w:val="both"/>
    </w:pPr>
  </w:style>
  <w:style w:type="paragraph" w:styleId="NormalWeb">
    <w:name w:val="Normal (Web)"/>
    <w:basedOn w:val="Normal"/>
    <w:uiPriority w:val="99"/>
    <w:semiHidden/>
    <w:unhideWhenUsed/>
    <w:pPr>
      <w:spacing w:after="80"/>
      <w:jc w:val="both"/>
    </w:pPr>
  </w:style>
  <w:style w:type="paragraph" w:customStyle="1" w:styleId="cover">
    <w:name w:val="cover"/>
    <w:basedOn w:val="Normal"/>
    <w:pPr>
      <w:spacing w:before="2835" w:after="30"/>
      <w:jc w:val="center"/>
    </w:pPr>
  </w:style>
  <w:style w:type="paragraph" w:customStyle="1" w:styleId="figure">
    <w:name w:val="figure"/>
    <w:basedOn w:val="Normal"/>
    <w:pPr>
      <w:spacing w:before="160" w:after="40"/>
      <w:jc w:val="center"/>
    </w:pPr>
  </w:style>
  <w:style w:type="paragraph" w:customStyle="1" w:styleId="caption">
    <w:name w:val="caption"/>
    <w:basedOn w:val="Normal"/>
    <w:pPr>
      <w:spacing w:before="40" w:after="160"/>
      <w:ind w:left="160" w:right="160"/>
      <w:jc w:val="center"/>
    </w:pPr>
    <w:rPr>
      <w:color w:val="4C5965"/>
      <w:sz w:val="18"/>
      <w:szCs w:val="18"/>
    </w:rPr>
  </w:style>
  <w:style w:type="paragraph" w:customStyle="1" w:styleId="equation">
    <w:name w:val="equation"/>
    <w:basedOn w:val="Normal"/>
    <w:pPr>
      <w:spacing w:before="140" w:after="140"/>
      <w:jc w:val="center"/>
    </w:pPr>
  </w:style>
  <w:style w:type="paragraph" w:customStyle="1" w:styleId="meta">
    <w:name w:val="meta"/>
    <w:basedOn w:val="Normal"/>
    <w:pPr>
      <w:spacing w:before="100" w:beforeAutospacing="1" w:after="30"/>
    </w:pPr>
  </w:style>
  <w:style w:type="paragraph" w:customStyle="1" w:styleId="meta1">
    <w:name w:val="meta1"/>
    <w:basedOn w:val="Normal"/>
    <w:pPr>
      <w:spacing w:before="140" w:after="80"/>
      <w:jc w:val="both"/>
    </w:pPr>
    <w:rPr>
      <w:sz w:val="21"/>
      <w:szCs w:val="21"/>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Encabezado">
    <w:name w:val="header"/>
    <w:basedOn w:val="Normal"/>
    <w:link w:val="EncabezadoCar"/>
    <w:uiPriority w:val="99"/>
    <w:unhideWhenUsed/>
    <w:rsid w:val="00084BBB"/>
    <w:pPr>
      <w:tabs>
        <w:tab w:val="center" w:pos="4419"/>
        <w:tab w:val="right" w:pos="8838"/>
      </w:tabs>
    </w:pPr>
  </w:style>
  <w:style w:type="character" w:customStyle="1" w:styleId="EncabezadoCar">
    <w:name w:val="Encabezado Car"/>
    <w:basedOn w:val="Fuentedeprrafopredeter"/>
    <w:link w:val="Encabezado"/>
    <w:uiPriority w:val="99"/>
    <w:rsid w:val="00084BBB"/>
    <w:rPr>
      <w:rFonts w:eastAsiaTheme="minorEastAsia"/>
      <w:sz w:val="24"/>
      <w:szCs w:val="24"/>
    </w:rPr>
  </w:style>
  <w:style w:type="paragraph" w:styleId="Piedepgina">
    <w:name w:val="footer"/>
    <w:basedOn w:val="Normal"/>
    <w:link w:val="PiedepginaCar"/>
    <w:uiPriority w:val="99"/>
    <w:unhideWhenUsed/>
    <w:rsid w:val="00084BBB"/>
    <w:pPr>
      <w:tabs>
        <w:tab w:val="center" w:pos="4419"/>
        <w:tab w:val="right" w:pos="8838"/>
      </w:tabs>
    </w:pPr>
  </w:style>
  <w:style w:type="character" w:customStyle="1" w:styleId="PiedepginaCar">
    <w:name w:val="Pie de página Car"/>
    <w:basedOn w:val="Fuentedeprrafopredeter"/>
    <w:link w:val="Piedepgina"/>
    <w:uiPriority w:val="99"/>
    <w:rsid w:val="00084BB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1781">
      <w:marLeft w:val="0"/>
      <w:marRight w:val="0"/>
      <w:marTop w:val="160"/>
      <w:marBottom w:val="40"/>
      <w:divBdr>
        <w:top w:val="none" w:sz="0" w:space="0" w:color="auto"/>
        <w:left w:val="none" w:sz="0" w:space="0" w:color="auto"/>
        <w:bottom w:val="none" w:sz="0" w:space="0" w:color="auto"/>
        <w:right w:val="none" w:sz="0" w:space="0" w:color="auto"/>
      </w:divBdr>
    </w:div>
    <w:div w:id="79644331">
      <w:marLeft w:val="0"/>
      <w:marRight w:val="0"/>
      <w:marTop w:val="160"/>
      <w:marBottom w:val="40"/>
      <w:divBdr>
        <w:top w:val="none" w:sz="0" w:space="0" w:color="auto"/>
        <w:left w:val="none" w:sz="0" w:space="0" w:color="auto"/>
        <w:bottom w:val="none" w:sz="0" w:space="0" w:color="auto"/>
        <w:right w:val="none" w:sz="0" w:space="0" w:color="auto"/>
      </w:divBdr>
    </w:div>
    <w:div w:id="186649686">
      <w:marLeft w:val="160"/>
      <w:marRight w:val="160"/>
      <w:marTop w:val="40"/>
      <w:marBottom w:val="160"/>
      <w:divBdr>
        <w:top w:val="none" w:sz="0" w:space="0" w:color="auto"/>
        <w:left w:val="none" w:sz="0" w:space="0" w:color="auto"/>
        <w:bottom w:val="none" w:sz="0" w:space="0" w:color="auto"/>
        <w:right w:val="none" w:sz="0" w:space="0" w:color="auto"/>
      </w:divBdr>
    </w:div>
    <w:div w:id="549414072">
      <w:marLeft w:val="160"/>
      <w:marRight w:val="160"/>
      <w:marTop w:val="40"/>
      <w:marBottom w:val="160"/>
      <w:divBdr>
        <w:top w:val="none" w:sz="0" w:space="0" w:color="auto"/>
        <w:left w:val="none" w:sz="0" w:space="0" w:color="auto"/>
        <w:bottom w:val="none" w:sz="0" w:space="0" w:color="auto"/>
        <w:right w:val="none" w:sz="0" w:space="0" w:color="auto"/>
      </w:divBdr>
    </w:div>
    <w:div w:id="607667164">
      <w:marLeft w:val="160"/>
      <w:marRight w:val="160"/>
      <w:marTop w:val="40"/>
      <w:marBottom w:val="160"/>
      <w:divBdr>
        <w:top w:val="none" w:sz="0" w:space="0" w:color="auto"/>
        <w:left w:val="none" w:sz="0" w:space="0" w:color="auto"/>
        <w:bottom w:val="none" w:sz="0" w:space="0" w:color="auto"/>
        <w:right w:val="none" w:sz="0" w:space="0" w:color="auto"/>
      </w:divBdr>
    </w:div>
    <w:div w:id="742292708">
      <w:marLeft w:val="0"/>
      <w:marRight w:val="0"/>
      <w:marTop w:val="2835"/>
      <w:marBottom w:val="0"/>
      <w:divBdr>
        <w:top w:val="none" w:sz="0" w:space="0" w:color="auto"/>
        <w:left w:val="none" w:sz="0" w:space="0" w:color="auto"/>
        <w:bottom w:val="none" w:sz="0" w:space="0" w:color="auto"/>
        <w:right w:val="none" w:sz="0" w:space="0" w:color="auto"/>
      </w:divBdr>
      <w:divsChild>
        <w:div w:id="942541481">
          <w:marLeft w:val="0"/>
          <w:marRight w:val="0"/>
          <w:marTop w:val="140"/>
          <w:marBottom w:val="0"/>
          <w:divBdr>
            <w:top w:val="none" w:sz="0" w:space="0" w:color="auto"/>
            <w:left w:val="none" w:sz="0" w:space="0" w:color="auto"/>
            <w:bottom w:val="none" w:sz="0" w:space="0" w:color="auto"/>
            <w:right w:val="none" w:sz="0" w:space="0" w:color="auto"/>
          </w:divBdr>
        </w:div>
        <w:div w:id="1971207026">
          <w:marLeft w:val="0"/>
          <w:marRight w:val="0"/>
          <w:marTop w:val="140"/>
          <w:marBottom w:val="0"/>
          <w:divBdr>
            <w:top w:val="none" w:sz="0" w:space="0" w:color="auto"/>
            <w:left w:val="none" w:sz="0" w:space="0" w:color="auto"/>
            <w:bottom w:val="none" w:sz="0" w:space="0" w:color="auto"/>
            <w:right w:val="none" w:sz="0" w:space="0" w:color="auto"/>
          </w:divBdr>
        </w:div>
      </w:divsChild>
    </w:div>
    <w:div w:id="1994410927">
      <w:marLeft w:val="0"/>
      <w:marRight w:val="0"/>
      <w:marTop w:val="160"/>
      <w:marBottom w:val="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1701</Words>
  <Characters>9358</Characters>
  <Application>Microsoft Office Word</Application>
  <DocSecurity>0</DocSecurity>
  <Lines>77</Lines>
  <Paragraphs>22</Paragraphs>
  <ScaleCrop>false</ScaleCrop>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JOSUE ZAPATA CHILLA</dc:creator>
  <cp:keywords/>
  <dc:description/>
  <cp:lastModifiedBy>CESAR JOSUE ZAPATA CHILLA</cp:lastModifiedBy>
  <cp:revision>2</cp:revision>
  <dcterms:created xsi:type="dcterms:W3CDTF">2026-07-01T05:49:00Z</dcterms:created>
  <dcterms:modified xsi:type="dcterms:W3CDTF">2026-07-01T05:49:00Z</dcterms:modified>
</cp:coreProperties>
</file>