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376000" cy="57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orizontal-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57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Documentação do SAMAHI para atualização da monografia</w:t>
      </w:r>
    </w:p>
    <w:p>
      <w:pPr>
        <w:pStyle w:val="Subtitle"/>
      </w:pPr>
      <w:r>
        <w:t>Estágio do aplicativo e da integração virtual até a versão 0.6.0</w:t>
      </w:r>
    </w:p>
    <w:p>
      <w:r>
        <w:t>Destinatário: Matheus, responsável pela monografia. Frente de software: César. Hardware e firmware: Gabriel. Registro consolidado em 17 de outubro de 2026, horário de Brasília.</w:t>
      </w:r>
    </w:p>
    <w:p>
      <w:pPr>
        <w:pStyle w:val="Heading2"/>
      </w:pPr>
      <w:r>
        <w:t>Como usar este material</w:t>
      </w:r>
    </w:p>
    <w:p>
      <w:r>
        <w:t>Este documento reúne o funcionamento implementado, a arquitetura, as decisões técnicas e as evidências disponíveis para atualizar a monografia. A prioridade do TCC continua sendo o trabalho acadêmico e a apresentação; a maquete exemplifica as soluções estudadas.</w:t>
      </w:r>
    </w:p>
    <w:p>
      <w:r>
        <w:t>O aplicativo Android 0.6.0 já foi compilado. Há login real, banco local no servidor, autorização por ambiente e integração com um ESP virtual no Node-RED. Isso comprova uma implementação de software e ensaios controlados; não comprova integração com ESP32 físico nem validação hospitalar. O aceite completo do APK no telefone ainda não foi registrado.</w:t>
      </w:r>
    </w:p>
    <w:p>
      <w:pPr>
        <w:pStyle w:val="Heading2"/>
      </w:pPr>
      <w:r>
        <w:t>Base documental</w:t>
      </w:r>
    </w:p>
    <w:p>
      <w:r>
        <w:t>Código enviado ao EAS: 94f0ea1. Registro da build: 34b55fe. A base main 0f3d519 incorporou as mudanças até o PR 17. As capturas novas deste pacote foram feitas em ambiente isolado, com contas de ensaio e banco descartável; outras figuras são registros anteriores identificados na legenda.</w:t>
      </w:r>
    </w:p>
    <w:p>
      <w:pPr>
        <w:pStyle w:val="Heading2"/>
      </w:pPr>
      <w:r>
        <w:t>Roteiro de leitura</w:t>
      </w:r>
    </w:p>
    <w:p>
      <w:pPr>
        <w:pStyle w:val="ListBullet"/>
      </w:pPr>
      <w:r>
        <w:t>Seções 1 a 4: escopo, arquitetura e tecnologias.</w:t>
      </w:r>
    </w:p>
    <w:p>
      <w:pPr>
        <w:pStyle w:val="ListBullet"/>
      </w:pPr>
      <w:r>
        <w:t>Seções 5 a 12: regras, dados, comunicação e operação.</w:t>
      </w:r>
    </w:p>
    <w:p>
      <w:pPr>
        <w:pStyle w:val="ListBullet"/>
      </w:pPr>
      <w:r>
        <w:t>Seções 13 e 14: verificações e APK gerado.</w:t>
      </w:r>
    </w:p>
    <w:p>
      <w:pPr>
        <w:pStyle w:val="ListBullet"/>
      </w:pPr>
      <w:r>
        <w:t>Galeria: figuras com legendas, fonte e limite de interpretação.</w:t>
      </w:r>
    </w:p>
    <w:p>
      <w:pPr>
        <w:pStyle w:val="ListBullet"/>
      </w:pPr>
      <w:r>
        <w:t>Etapas finais: evidências pendentes, orientação de redação e referências funcionais.</w:t>
      </w:r>
    </w:p>
    <w:p>
      <w:r>
        <w:t>O Word permite adaptar a redação. O ZIP inclui as imagens originais e o texto em Markdown. Os links do GitHub privado exigem acesso ao repositório; o pacote local permite consultar o conteúdo e as figuras sem esse acesso.</w:t>
      </w:r>
    </w:p>
    <w:p>
      <w:r>
        <w:br w:type="page"/>
      </w:r>
    </w:p>
    <w:p>
      <w:pPr>
        <w:pStyle w:val="Heading1"/>
      </w:pPr>
      <w:r>
        <w:t>1 Escopo atual e responsabilidades</w:t>
      </w:r>
    </w:p>
    <w:p>
      <w:r>
        <w:t>O SAMAHI centraliza funções de automação e monitoramento disponíveis para a maquete de um quarto. A interface permite acessar ambientes autorizados, controlar iluminação, acompanhar sensores, definir um indicador externo e consultar registros operacionais. O nome significa Sistema de Automação e Monitoramento de Ambientes Hospitalares Inteligentes.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268"/>
        <w:gridCol w:w="5046"/>
      </w:tblGrid>
      <w:tr>
        <w:trPr>
          <w:tblHeader/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Frente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Responsável principal</w:t>
            </w:r>
          </w:p>
        </w:tc>
        <w:tc>
          <w:tcPr>
            <w:tcW w:type="dxa" w:w="504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Participação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Aplicativo e backend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César</w:t>
            </w:r>
          </w:p>
        </w:tc>
        <w:tc>
          <w:tcPr>
            <w:tcW w:type="dxa" w:w="504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Interface, integração, autenticação, banco e distribuição.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Hardware e firmware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Gabriel</w:t>
            </w:r>
          </w:p>
        </w:tc>
        <w:tc>
          <w:tcPr>
            <w:tcW w:type="dxa" w:w="504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Circuito, ESP32 e adaptação do contrato ao equipamento.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Monografia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Matheus</w:t>
            </w:r>
          </w:p>
        </w:tc>
        <w:tc>
          <w:tcPr>
            <w:tcW w:type="dxa" w:w="504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Revisão teórica, método, resultados, figuras e referências.</w:t>
            </w:r>
          </w:p>
        </w:tc>
      </w:tr>
    </w:tbl>
    <w:p>
      <w:pPr>
        <w:spacing w:after="20"/>
      </w:pPr>
    </w:p>
    <w:p>
      <w:r>
        <w:t>A divisão indica liderança de cada frente; os três integrantes se apoiam. Não há comprovação neste pacote de montagem física concluída, calibração dos sensores ou testes em ambiente hospitalar.</w:t>
      </w:r>
    </w:p>
    <w:p>
      <w:pPr>
        <w:pStyle w:val="Heading2"/>
      </w:pPr>
      <w:r>
        <w:t>Fronteiras do escopo</w:t>
      </w:r>
    </w:p>
    <w:p>
      <w:pPr>
        <w:pStyle w:val="ListBullet"/>
      </w:pPr>
      <w:r>
        <w:t>A operação começa por autenticação. O catálogo respeita as permissões da conta.</w:t>
      </w:r>
    </w:p>
    <w:p>
      <w:pPr>
        <w:pStyle w:val="ListBullet"/>
      </w:pPr>
      <w:r>
        <w:t>A planta do quarto é uma ilustração da interface, sem escala e sem comprovação de circuito montado.</w:t>
      </w:r>
    </w:p>
    <w:p>
      <w:pPr>
        <w:pStyle w:val="ListBullet"/>
      </w:pPr>
      <w:r>
        <w:t>O serviço atual atende apenas quarto-01 e ESP32-quarto-01. Cadastro no banco não cria outro dispositivo.</w:t>
      </w:r>
    </w:p>
    <w:p>
      <w:pPr>
        <w:pStyle w:val="ListBullet"/>
      </w:pPr>
      <w:r>
        <w:t>Fechadura, borda pulsante pela cor Manchester, notificações push, identificação de gases e integração física são expansões ou tarefas pendentes, não resultados desta versão.</w:t>
      </w:r>
    </w:p>
    <w:p>
      <w:pPr>
        <w:pStyle w:val="ListBullet"/>
      </w:pPr>
      <w:r>
        <w:t>Não há cadastro de pacientes, prontuário ou classificação clínica automatizada.</w:t>
      </w:r>
    </w:p>
    <w:p>
      <w:pPr>
        <w:pStyle w:val="Heading2"/>
      </w:pPr>
      <w:r>
        <w:t>Evolução desde o protótipo inicial</w:t>
      </w:r>
    </w:p>
    <w:p>
      <w:r>
        <w:t>A solução começou com estados simulados dentro do cliente. Evoluiu para serviço Node-RED externo e, depois, backend autenticado com banco e auditoria. A interface deixou de oferecer acesso à demonstração. A regra de iluminação automática por LDR foi substituída por programação de horários. Na 0.6.0, a marca e as preferências locais também foram consolidadas. [S1 a S6]</w:t>
      </w:r>
    </w:p>
    <w:p>
      <w:r>
        <w:br w:type="page"/>
      </w:r>
    </w:p>
    <w:p>
      <w:pPr>
        <w:pStyle w:val="Heading1"/>
      </w:pPr>
      <w:r>
        <w:t>2 Requisitos implementados e alcance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139"/>
        <w:gridCol w:w="3742"/>
      </w:tblGrid>
      <w:tr>
        <w:trPr>
          <w:tblHeader/>
          <w:cantSplit/>
        </w:trP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Comportamento atual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Verificação disponível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Acesso por conta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Email/senha; administração cria contas e concede acesso.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API e navegador; login/quarto no Expo Go relatados por César.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Quartos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Cadastro, edição, ativação e associação a um dispositivo.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Persistência e permissões em banco de ensaio.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Luz manual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Ligar, apagar, 0 a 100% e restaurar intensidade ao religar.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Testes e confirmação pelo serviço virtual.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Dia e Noite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Dois horários e duas intensidades, no fuso de Brasília.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Relógio injetado, persistência e navegador.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Sensores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Temperatura, umidade e estado de gás.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Telemetria virtual e cenários controlados.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Manchester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Cor selecionada manualmente; não depende dos sensores.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Contrato e interface; LED físico pendente.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Alertas e histórico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Gás, leitura antiga, perda e retorno de comunicação.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API, testes e capturas; coleta depende de consultas.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Preferências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Conexão, tema e redução de animações ao reabrir.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24 testes totais e reabertura real do navegador.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Distribuição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Web exportável e APK Android 0.6.0 instalável.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EAS FINISHED e arquivo inspecionado; aceite físico pendente.</w:t>
            </w:r>
          </w:p>
        </w:tc>
      </w:tr>
    </w:tbl>
    <w:p>
      <w:pPr>
        <w:spacing w:after="20"/>
      </w:pPr>
    </w:p>
    <w:p>
      <w:r>
        <w:t>Implementado indica presença no código. Verificado indica um ensaio documentado e limitado ao cenário descrito. Pendente não deve ser convertido em resultado esperado apresentado como se já tivesse sido obtido.</w:t>
      </w:r>
    </w:p>
    <w:p>
      <w:r>
        <w:t>Não foi realizado ensaio de desempenho com usuários, comparação estatística, medição de economia de energia ou avaliação de segurança clínica. O intervalo de consulta de dois segundos é uma configuração, não uma garantia de tempo real. [S1 a S6]</w:t>
      </w:r>
    </w:p>
    <w:p>
      <w:r>
        <w:br w:type="page"/>
      </w:r>
    </w:p>
    <w:p>
      <w:pPr>
        <w:pStyle w:val="Heading1"/>
      </w:pPr>
      <w:r>
        <w:t>3 Arquitetura de execução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2" name="Picture 2" descr="Figura 1 Arquitetura implementada do SAMAH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rquite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Arquitetura implementada do SAMAHI</w:t>
      </w:r>
    </w:p>
    <w:p>
      <w:pPr>
        <w:pStyle w:val="Caption"/>
      </w:pPr>
      <w:r>
        <w:t>Fonte: Elaboração deste pacote a partir do código 0.6.0.</w:t>
      </w:r>
    </w:p>
    <w:p>
      <w:r>
        <w:t>O que esta imagem permite observar: Separação entre cliente, backend, banco, serviço virtual e arquivo operacional.</w:t>
      </w:r>
    </w:p>
    <w:p>
      <w:r>
        <w:t>O cliente Android ou web fala com a API do backend. O backend verifica a sessão e as concessões antes de encaminhar consultas ou comandos ao Node-RED. O resultado é validado e, quando aplicável, registrado no SQLite. O telefone não precisa acessar o editor Node-RED. [S1, S2]</w:t>
      </w:r>
    </w:p>
    <w:p>
      <w:r>
        <w:t>O Node-RED mantém o dispositivo virtual e executa a regra diária de iluminação. O arquivo operacional da luz é independente do SQLite, permitindo que a programação continue enquanto o serviço está ativo, mesmo sem app ou backend abertos. Isso não garante funcionamento com o computador suspenso.</w:t>
      </w:r>
    </w:p>
    <w:p>
      <w:r>
        <w:t>Vercel distribui os arquivos do cliente web; não hospeda automaticamente o backend local, o banco ou o Node-RED. EAS compila o APK. GitHub, Notion e Trello apoiam o desenvolvimento e não são dependências de operação da maquete. [1, 8, 10]</w:t>
      </w:r>
    </w:p>
    <w:p>
      <w:r>
        <w:br w:type="page"/>
      </w:r>
    </w:p>
    <w:p>
      <w:pPr>
        <w:pStyle w:val="Heading1"/>
      </w:pPr>
      <w:r>
        <w:t>4 Tecnologias e organização do código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2268"/>
        <w:gridCol w:w="4479"/>
      </w:tblGrid>
      <w:tr>
        <w:trPr>
          <w:tblHeader/>
          <w:cantSplit/>
        </w:trPr>
        <w:tc>
          <w:tcPr>
            <w:tcW w:type="dxa" w:w="28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Versão declarada</w:t>
            </w:r>
          </w:p>
        </w:tc>
        <w:tc>
          <w:tcPr>
            <w:tcW w:type="dxa" w:w="44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Papel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Expo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~57.0.26</w:t>
            </w:r>
          </w:p>
        </w:tc>
        <w:tc>
          <w:tcPr>
            <w:tcW w:type="dxa" w:w="44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Desenvolvimento, exportação e empacotamento.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React e React Native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19.2.3 e 0.86.3</w:t>
            </w:r>
          </w:p>
        </w:tc>
        <w:tc>
          <w:tcPr>
            <w:tcW w:type="dxa" w:w="44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Componentes e execução móvel.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React Native Web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^0.21.2</w:t>
            </w:r>
          </w:p>
        </w:tc>
        <w:tc>
          <w:tcPr>
            <w:tcW w:type="dxa" w:w="44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Reutilização das primitivas no navegador.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React Native Paper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^5.15.3</w:t>
            </w:r>
          </w:p>
        </w:tc>
        <w:tc>
          <w:tcPr>
            <w:tcW w:type="dxa" w:w="44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Campos, cartões, temas e navegação.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TypeScript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~6.0.3</w:t>
            </w:r>
          </w:p>
        </w:tc>
        <w:tc>
          <w:tcPr>
            <w:tcW w:type="dxa" w:w="44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Tipagem e checagem estática.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AsyncStorage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2.2.0</w:t>
            </w:r>
          </w:p>
        </w:tc>
        <w:tc>
          <w:tcPr>
            <w:tcW w:type="dxa" w:w="44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Preferências não secretas no cliente.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Express e Better Auth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5.1.0 e 1.7.10</w:t>
            </w:r>
          </w:p>
        </w:tc>
        <w:tc>
          <w:tcPr>
            <w:tcW w:type="dxa" w:w="44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API, autenticação e gestão de sessões.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Node.js e SQLite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Node &gt;=24.15.0</w:t>
            </w:r>
          </w:p>
        </w:tc>
        <w:tc>
          <w:tcPr>
            <w:tcW w:type="dxa" w:w="44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Servidor com node:sqlite e banco em arquivo.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Node-RED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Runtime da bancada</w:t>
            </w:r>
          </w:p>
        </w:tc>
        <w:tc>
          <w:tcPr>
            <w:tcW w:type="dxa" w:w="447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Fluxo HTTP e simulação externa.</w:t>
            </w:r>
          </w:p>
        </w:tc>
      </w:tr>
    </w:tbl>
    <w:p>
      <w:pPr>
        <w:spacing w:after="20"/>
      </w:pPr>
    </w:p>
    <w:p>
      <w:r>
        <w:t>As versões são as declaradas nos manifests do projeto. Os arquivos lock fixam a resolução utilizada na instalação; a documentação de terceiros pode tratar versões posteriores. [S7]</w:t>
      </w:r>
    </w:p>
    <w:p>
      <w:pPr>
        <w:pStyle w:val="Heading2"/>
      </w:pPr>
      <w:r>
        <w:t>Mapa para manutenção</w:t>
      </w:r>
    </w:p>
    <w:p>
      <w:pPr>
        <w:pStyle w:val="ListBullet"/>
      </w:pPr>
      <w:r>
        <w:t>src/ui/ConnectedApp.tsx: entrada, sessão, endereço e preferências.</w:t>
      </w:r>
    </w:p>
    <w:p>
      <w:pPr>
        <w:pStyle w:val="ListBullet"/>
      </w:pPr>
      <w:r>
        <w:t>src/ui/DemoApp.tsx: layout e navegação autenticada; o nome do arquivo é legado e não significa acesso à demonstração.</w:t>
      </w:r>
    </w:p>
    <w:p>
      <w:pPr>
        <w:pStyle w:val="ListBullet"/>
      </w:pPr>
      <w:r>
        <w:t>AccountManagement.tsx: contas, concessões e ambientes.</w:t>
      </w:r>
    </w:p>
    <w:p>
      <w:pPr>
        <w:pStyle w:val="ListBullet"/>
      </w:pPr>
      <w:r>
        <w:t>useAuthenticatedDevice.ts: consultas, comandos e adaptação da telemetria.</w:t>
      </w:r>
    </w:p>
    <w:p>
      <w:pPr>
        <w:pStyle w:val="ListBullet"/>
      </w:pPr>
      <w:r>
        <w:t>backend/server.mjs e core.mjs: rotas, autorização, biblioteca de autenticação e modelo persistente.</w:t>
      </w:r>
    </w:p>
    <w:p>
      <w:pPr>
        <w:pStyle w:val="ListBullet"/>
      </w:pPr>
      <w:r>
        <w:t>integration/node-red/simulator.cjs e shared/lighting-schedule.cjs: serviço virtual e regra compartilhada de horários.</w:t>
      </w:r>
    </w:p>
    <w:p>
      <w:r>
        <w:br w:type="page"/>
      </w:r>
    </w:p>
    <w:p>
      <w:pPr>
        <w:pStyle w:val="Heading1"/>
      </w:pPr>
      <w:r>
        <w:t>5 Autenticação e permissões</w:t>
      </w:r>
    </w:p>
    <w:p>
      <w:r>
        <w:t>A autenticação é real no backend, mesmo com equipamentos virtuais. Better Auth gerencia credenciais, sessões e limitação de tentativas. Cadastro público está desabilitado; o administrador cria contas comuns, redefine senhas e pode desativar ou reativar usuários. Cada usuário pode mudar a própria senha informando a atual. [2, S1]</w:t>
      </w:r>
    </w:p>
    <w:p>
      <w:r>
        <w:t>O app usa sessão Bearer. O token do cliente fica em memória e não é incluído nas preferências locais. O servidor conserva a sessão no SQLite por até oito horas, mas o cliente atual não restaura automaticamente o login após encerrar ou recarregar. Redefinição/desativação revogam sessões conforme as rotas implementadas.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948"/>
        <w:gridCol w:w="4649"/>
      </w:tblGrid>
      <w:tr>
        <w:trPr>
          <w:tblHeader/>
          <w:cantSplit/>
        </w:trPr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Níveis admitidos</w:t>
            </w:r>
          </w:p>
        </w:tc>
        <w:tc>
          <w:tcPr>
            <w:tcW w:type="dxa" w:w="46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Operação protegida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Iluminação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Nenhum, leitura, controle</w:t>
            </w:r>
          </w:p>
        </w:tc>
        <w:tc>
          <w:tcPr>
            <w:tcW w:type="dxa" w:w="46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Luz manual e programação exigem controle.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Sensores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Nenhum, leitura</w:t>
            </w:r>
          </w:p>
        </w:tc>
        <w:tc>
          <w:tcPr>
            <w:tcW w:type="dxa" w:w="46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Leitura e reconhecimento de gás exigem acesso.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Manchester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Nenhum, leitura, controle</w:t>
            </w:r>
          </w:p>
        </w:tc>
        <w:tc>
          <w:tcPr>
            <w:tcW w:type="dxa" w:w="46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Mudança de cor exige controle.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Histórico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Nenhum, leitura</w:t>
            </w:r>
          </w:p>
        </w:tc>
        <w:tc>
          <w:tcPr>
            <w:tcW w:type="dxa" w:w="46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Consulta dos registros do ambiente.</w:t>
            </w:r>
          </w:p>
        </w:tc>
      </w:tr>
    </w:tbl>
    <w:p>
      <w:pPr>
        <w:spacing w:after="20"/>
      </w:pPr>
    </w:p>
    <w:p>
      <w:r>
        <w:t>A concessão é específica para pessoa, ambiente e grupo de função. O papel de administrador permite gerir cadastros, mas não dispensa concessões para operar um quarto. O backend reconsulta permissões e filtra campos da telemetria; esconder botões sozinho não seria autorização suficiente.</w:t>
      </w:r>
    </w:p>
    <w:p>
      <w:pPr>
        <w:pStyle w:val="Heading2"/>
      </w:pPr>
      <w:r>
        <w:t>Limites atuais</w:t>
      </w:r>
    </w:p>
    <w:p>
      <w:r>
        <w:t>Não há recuperação automática por email, convite por email ou login automático persistente. A senha não é guardada em texto puro pelo sistema de autenticação. Não registrar este desenho como auditoria externa de segurança ou como comprovação de conformidade legal. O tráfego HTTP local do ensaio não é cifrado.</w:t>
      </w:r>
    </w:p>
    <w:p>
      <w:r>
        <w:br w:type="page"/>
      </w:r>
    </w:p>
    <w:p>
      <w:pPr>
        <w:pStyle w:val="Heading1"/>
      </w:pPr>
      <w:r>
        <w:t>6 Dados persistidos e origem da informação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685"/>
        <w:gridCol w:w="3515"/>
      </w:tblGrid>
      <w:tr>
        <w:trPr>
          <w:tblHeader/>
          <w:cantSplit/>
        </w:trP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Armazenamento</w:t>
            </w:r>
          </w:p>
        </w:tc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SQLite do backend</w:t>
            </w:r>
          </w:p>
        </w:tc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Contas, sessões, ambientes e concessões.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Fonte de verdade de acesso e cadastro.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Tabela commands</w:t>
            </w:r>
          </w:p>
        </w:tc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Identificador, autor, pedido, status e retorno.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Deduplicação por autor, ambiente e commandId.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Tabela audit</w:t>
            </w:r>
          </w:p>
        </w:tc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Horário, autor, ação e detalhes do evento.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Não contém senha/token nos registros próprios.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latest_readings</w:t>
            </w:r>
          </w:p>
        </w:tc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Último snapshot válido por ambiente.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Não é série histórica de todas as amostras.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room_connection_state</w:t>
            </w:r>
          </w:p>
        </w:tc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Último estado online, offline ou stale.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Preserva deduplicação das transições.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Arquivo da iluminação</w:t>
            </w:r>
          </w:p>
        </w:tc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Modo, horários, intensidade e última intensidade positiva.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backend/data/node-red-lighting.json.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AsyncStorage do cliente</w:t>
            </w:r>
          </w:p>
        </w:tc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Endereço, tema e reduzir animações.</w:t>
            </w:r>
          </w:p>
        </w:tc>
        <w:tc>
          <w:tcPr>
            <w:tcW w:type="dxa" w:w="351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Não sincroniza entre aparelhos.</w:t>
            </w:r>
          </w:p>
        </w:tc>
      </w:tr>
    </w:tbl>
    <w:p>
      <w:pPr>
        <w:spacing w:after="20"/>
      </w:pPr>
    </w:p>
    <w:p>
      <w:r>
        <w:t>O banco fica normalmente em backend/data/samahi.sqlite, acompanhado do segredo auth-secret. SQLite usa WAL, chaves estrangeiras e consultas parametrizadas. Duplicidade de leito/dispositivo é rejeitada. Contas e ambientes são desativados pela interface, sem exclusão destrutiva. [3, S1]</w:t>
      </w:r>
    </w:p>
    <w:p>
      <w:r>
        <w:t>As tabelas próprias incluem rooms, grants, audit, commands, latest_readings e room_connection_state. Identidade, credencial e sessão também usam tabelas gerenciadas pela biblioteca de autenticação. Uma concessão relaciona usuário a quarto; o quarto associa um identificador de dispositivo. O histórico observado não deve ser confundido com o estado presente do equipamento.</w:t>
      </w:r>
    </w:p>
    <w:p>
      <w:r>
        <w:t>Não são armazenados dados de pacientes nem cada leitura de dois segundos. O objetivo do histórico atual é registrar eventos e confirmações operacionais. Um futuro banco de séries temporais ou retenção integral precisaria de novo requisito e projeto.</w:t>
      </w:r>
    </w:p>
    <w:p>
      <w:r>
        <w:br w:type="page"/>
      </w:r>
    </w:p>
    <w:p>
      <w:pPr>
        <w:pStyle w:val="Heading1"/>
      </w:pPr>
      <w:r>
        <w:t>7 Comunicação e confirmação de comandos</w:t>
      </w:r>
    </w:p>
    <w:p>
      <w:r>
        <w:t>A integração atual é HTTP com corpos JSON. Não há MQTT implementado neste fluxo. O cliente consulta o backend; este consulta a API v1 do Node-RED. Os IDs de ambiente e dispositivo recebidos precisam corresponder ao cadastro. [4, S2]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Rota do backend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GET /health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Verificar servidor SAMAHI, sem comprovar estado do ESP.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POST /api/auth/sign-in/email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Autenticação.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GET /api/me e /api/rooms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Conta e ambientes autorizados.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GET /api/rooms/:id/telemetry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Leitura filtrada por concessões.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POST /api/rooms/:id/commands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Comando autorizado e validado.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GET /api/rooms/:id/history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Últimos 100 registros do ambiente.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Rotas /api/users e /api/rooms</w:t>
            </w:r>
          </w:p>
        </w:tc>
        <w:tc>
          <w:tcPr>
            <w:tcW w:type="dxa" w:w="48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Administração de contas, concessões e cadastro.</w:t>
            </w:r>
          </w:p>
        </w:tc>
      </w:tr>
    </w:tbl>
    <w:p>
      <w:pPr>
        <w:spacing w:after="20"/>
      </w:pPr>
    </w:p>
    <w:p>
      <w:r>
        <w:t>Exemplo ilustrativo de pedido de luz, com identificador único:</w:t>
      </w:r>
    </w:p>
    <w:p>
      <w:pPr>
        <w:spacing w:after="160"/>
      </w:pPr>
      <w:r>
        <w:rPr>
          <w:rFonts w:ascii="Consolas" w:hAnsi="Consolas"/>
          <w:sz w:val="17"/>
        </w:rPr>
        <w:t>{"commandId":"exemplo-luz-001",</w:t>
        <w:br/>
        <w:t xml:space="preserve"> "command":{"kind":"light","on":true,"intensity":25}}</w:t>
      </w:r>
    </w:p>
    <w:p>
      <w:r>
        <w:t>O backend registra pending, encaminha o pedido e valida a resposta. A confirmação atual exige o mesmo commandId e status applied_in_simulator. Só então registra confirmed e devolve telemetria ao cliente. O termo técnico permanece no contrato para indicar origem virtual, mesmo sem rótulos de demonstração na tela.</w:t>
      </w:r>
    </w:p>
    <w:p>
      <w:r>
        <w:t>Pedido sem confirmação fica unconfirmed. Timeout não prova que o comando nunca foi executado; por isso não há reenvio automático. Um ID já confirmado com o mesmo pedido pode retornar a confirmação salva. ID reaproveitado com conteúdo diferente ou estado incerto é rejeitado. Para programação, a resposta deve também corresponder ao modo e aos horários/intensidades enviados. [S1, S2, S3]</w:t>
      </w:r>
    </w:p>
    <w:p>
      <w:r>
        <w:br w:type="page"/>
      </w:r>
    </w:p>
    <w:p>
      <w:pPr>
        <w:pStyle w:val="Heading1"/>
      </w:pPr>
      <w:r>
        <w:t>8 Iluminação manual e modos Dia e Noite</w:t>
      </w:r>
    </w:p>
    <w:p>
      <w:r>
        <w:t>A luz permite ligar, apagar e ajustar intensidade inteira de 0 a 100%. Zero representa apagado. Religar restaura a última intensidade positiva reportada. Percentual é o comando relativo do sistema, não medida de iluminância em lux nem luminância calibrada.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200"/>
      </w:tblGrid>
      <w:tr>
        <w:trPr>
          <w:tblHeader/>
          <w:cantSplit/>
        </w:trP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Comportamento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Período Dia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Começa no horário configurado e termina quando começa Noite.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Período Noite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Continua até o próximo Dia, inclusive cruzando meia-noite.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Valores iniciais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Dia 07:00 e 100%; Noite 19:00 e 20%, editáveis.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Ativação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Primeira execução permanece manual até ativação explícita.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Controle manual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Pausa os horários até reativar; não é cancelado por uma virada.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Pausar e retomar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Pausa mantém intensidade; retomada aplica período atual.</w:t>
            </w:r>
          </w:p>
        </w:tc>
      </w:tr>
    </w:tbl>
    <w:p>
      <w:pPr>
        <w:spacing w:after="20"/>
      </w:pPr>
    </w:p>
    <w:p>
      <w:r>
        <w:t>Horários HH:mm precisam ser diferentes; intensidades aceitam 0 a 100. O Node-RED calcula o período por Date.now e Intl.DateTimeFormat com America/Sao_Paulo. O fuso do telefone não determina a programação. O relógio do computador precisa estar correto; não existe consulta externa de hora a cada execução. [5, S3]</w:t>
      </w:r>
    </w:p>
    <w:p>
      <w:r>
        <w:t>A regra roda nos ticks do serviço, aproximadamente a cada dois segundos, sem exigir o app aberto. Precisa do computador e do Node-RED ativos. Ao reiniciar, recupera configuração e aplica o período atual; não reproduz todas as viradas intermediárias. O LDR permanece como leitura técnica, sem determinar a luz.</w:t>
      </w:r>
    </w:p>
    <w:p>
      <w:pPr>
        <w:spacing w:after="160"/>
      </w:pPr>
      <w:r>
        <w:rPr>
          <w:rFonts w:ascii="Consolas" w:hAnsi="Consolas"/>
          <w:sz w:val="17"/>
        </w:rPr>
        <w:t>{"kind":"lightingSchedule","enabled":true,</w:t>
        <w:br/>
        <w:t xml:space="preserve"> "schedule":{"timeZone":"America/Sao_Paulo",</w:t>
        <w:br/>
        <w:t xml:space="preserve"> "dayStart":"07:00","nightStart":"19:00",</w:t>
        <w:br/>
        <w:t xml:space="preserve"> "dayIntensity":100,"nightIntensity":20}}</w:t>
      </w:r>
    </w:p>
    <w:p>
      <w:r>
        <w:t>A programação e o modo ficam em arquivo operacional persistente. Falha de gravação ou ACK incompatível não deve aparecer como configuração aplicada. Isso foi verificado em testes isolados. [S3]</w:t>
      </w:r>
    </w:p>
    <w:p>
      <w:r>
        <w:br w:type="page"/>
      </w:r>
    </w:p>
    <w:p>
      <w:pPr>
        <w:pStyle w:val="Heading1"/>
      </w:pPr>
      <w:r>
        <w:t>9 Sensores gás e indicador Manchester</w:t>
      </w:r>
    </w:p>
    <w:p>
      <w:r>
        <w:t>A telemetria inclui temperatura, umidade e estado de gás, além de campos técnicos como ADC e idade da amostra. Os valores usados nos ensaios atuais são produzidos pelo ESP virtual do Node-RED. Alterar entradas no fluxo permite exercitar situações de operação e falha, sem expor pessoas a gases.</w:t>
      </w:r>
    </w:p>
    <w:p>
      <w:pPr>
        <w:pStyle w:val="Heading2"/>
      </w:pPr>
      <w:r>
        <w:t>Alerta ambiental</w:t>
      </w:r>
    </w:p>
    <w:p>
      <w:r>
        <w:t>Os estados de gás tratados são sem detecção, detecção e indisponibilidade. Uma faixa sobreposta ocupa toda a largura, com barras pretas/amarelas e movimento contínuo quando animações estão habilitadas. Reconhecer registra ciência do alerta, sem afirmar que o gás desapareceu. Voltar ao aplicativo fecha a faixa com saída lateral; o estado de detecção permanece até nova leitura sem detecção.</w:t>
      </w:r>
    </w:p>
    <w:p>
      <w:r>
        <w:t>O sinal ADC bruto e um limiar de bancada não identificam substância nem comprovam toxicidade ou concentração em ppm. O texto atual informa tipo de gás não identificado. Não apresentar o alerta como detector de gás tóxico validado; a integração física precisa de sensor escolhido, alimentação, calibração e ensaios. ADC é conversão de sinal analógico, não diagnóstico químico por si só. [6, S2]</w:t>
      </w:r>
    </w:p>
    <w:p>
      <w:pPr>
        <w:pStyle w:val="Heading2"/>
      </w:pPr>
      <w:r>
        <w:t>Indicador externo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690"/>
      </w:tblGrid>
      <w:tr>
        <w:trPr>
          <w:tblHeader/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Cor</w:t>
            </w:r>
          </w:p>
        </w:tc>
        <w:tc>
          <w:tcPr>
            <w:tcW w:type="dxa" w:w="6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Prioridade exibida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Vermelho</w:t>
            </w:r>
          </w:p>
        </w:tc>
        <w:tc>
          <w:tcPr>
            <w:tcW w:type="dxa" w:w="6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Emergente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Laranja</w:t>
            </w:r>
          </w:p>
        </w:tc>
        <w:tc>
          <w:tcPr>
            <w:tcW w:type="dxa" w:w="6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Muito urgente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Amarelo</w:t>
            </w:r>
          </w:p>
        </w:tc>
        <w:tc>
          <w:tcPr>
            <w:tcW w:type="dxa" w:w="6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Urgente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Verde</w:t>
            </w:r>
          </w:p>
        </w:tc>
        <w:tc>
          <w:tcPr>
            <w:tcW w:type="dxa" w:w="6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Pouco urgente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Azul</w:t>
            </w:r>
          </w:p>
        </w:tc>
        <w:tc>
          <w:tcPr>
            <w:tcW w:type="dxa" w:w="6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Não urgente</w:t>
            </w:r>
          </w:p>
        </w:tc>
      </w:tr>
    </w:tbl>
    <w:p>
      <w:pPr>
        <w:spacing w:after="20"/>
      </w:pPr>
    </w:p>
    <w:p>
      <w:r>
        <w:t>A associação de cores e prioridades é baseada na referência do GBCR [7]. O usuário seleciona manualmente uma classificação previamente definida. O app não executa o protocolo clínico, não calcula prioridade por sensores e não mantém cadastro de pacientes. Desligado apenas apaga o indicador e não é uma sexta prioridade. Gás, iluminação e Manchester são independentes. LED RGB físico ainda não foi comprovado.</w:t>
      </w:r>
    </w:p>
    <w:p>
      <w:r>
        <w:br w:type="page"/>
      </w:r>
    </w:p>
    <w:p>
      <w:pPr>
        <w:pStyle w:val="Heading1"/>
      </w:pPr>
      <w:r>
        <w:t>10 Histórico falhas e observação do ambiente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93"/>
        <w:gridCol w:w="3345"/>
      </w:tblGrid>
      <w:tr>
        <w:trPr>
          <w:tblHeader/>
          <w:cantSplit/>
        </w:trPr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Evento observado</w:t>
            </w:r>
          </w:p>
        </w:tc>
        <w:tc>
          <w:tcPr>
            <w:tcW w:type="dxa" w:w="334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Gás detectado ou leitura de gás indisponível</w:t>
            </w:r>
          </w:p>
        </w:tc>
        <w:tc>
          <w:tcPr>
            <w:tcW w:type="dxa" w:w="334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Falha ou alerta.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API do ambiente indisponível</w:t>
            </w:r>
          </w:p>
        </w:tc>
        <w:tc>
          <w:tcPr>
            <w:tcW w:type="dxa" w:w="334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Falha ou alerta de comunicação.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Amostra com idade de 10 segundos ou mais</w:t>
            </w:r>
          </w:p>
        </w:tc>
        <w:tc>
          <w:tcPr>
            <w:tcW w:type="dxa" w:w="334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Falha ou alerta de leitura antiga.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Comando sem confirmação</w:t>
            </w:r>
          </w:p>
        </w:tc>
        <w:tc>
          <w:tcPr>
            <w:tcW w:type="dxa" w:w="334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Falha ou alerta.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Gás volta a sem detecção</w:t>
            </w:r>
          </w:p>
        </w:tc>
        <w:tc>
          <w:tcPr>
            <w:tcW w:type="dxa" w:w="334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Informação.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Comunicação retorna com leitura recente</w:t>
            </w:r>
          </w:p>
        </w:tc>
        <w:tc>
          <w:tcPr>
            <w:tcW w:type="dxa" w:w="334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Informação.</w:t>
            </w:r>
          </w:p>
        </w:tc>
      </w:tr>
      <w:tr>
        <w:trPr>
          <w:cantSplit/>
        </w:trPr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Comando validado pelo serviço</w:t>
            </w:r>
          </w:p>
        </w:tc>
        <w:tc>
          <w:tcPr>
            <w:tcW w:type="dxa" w:w="334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Confirmação.</w:t>
            </w:r>
          </w:p>
        </w:tc>
      </w:tr>
    </w:tbl>
    <w:p>
      <w:pPr>
        <w:spacing w:after="20"/>
      </w:pPr>
    </w:p>
    <w:p>
      <w:r>
        <w:t>O cliente consulta telemetria e histórico aproximadamente a cada dois segundos. O backend observa transições e guarda o estado por ambiente, usando transação para unir o evento e a atualização do estado. Isso evita repetir o mesmo aviso a cada consulta ou reinício. A API devolve até 100 registros por ambiente, sem significar que o banco contém apenas 100. [S4]</w:t>
      </w:r>
    </w:p>
    <w:p>
      <w:r>
        <w:t>Uma amostra antiga não gera nova detecção de gás nem substitui o último snapshot válido. Registros antigos que contenham o estado de gás nos detalhes podem ser classificados corretamente na apresentação; quedas que nunca foram registradas não são reconstruídas.</w:t>
      </w:r>
    </w:p>
    <w:p>
      <w:pPr>
        <w:pStyle w:val="Heading2"/>
      </w:pPr>
      <w:r>
        <w:t>Limites de interpretação</w:t>
      </w:r>
    </w:p>
    <w:p>
      <w:pPr>
        <w:pStyle w:val="ListBullet"/>
      </w:pPr>
      <w:r>
        <w:t>A coleta depende de consultas autorizadas. Não há observador permanente de fundo se todos fecharem o app.</w:t>
      </w:r>
    </w:p>
    <w:p>
      <w:pPr>
        <w:pStyle w:val="ListBullet"/>
      </w:pPr>
      <w:r>
        <w:t>Se o backend estiver desligado, ele não grava a própria queda nem entrega histórico.</w:t>
      </w:r>
    </w:p>
    <w:p>
      <w:pPr>
        <w:pStyle w:val="ListBullet"/>
      </w:pPr>
      <w:r>
        <w:t>Parar a atualização mantendo API viva produz leitura antiga; parar a API produz perda de comunicação.</w:t>
      </w:r>
    </w:p>
    <w:p>
      <w:pPr>
        <w:pStyle w:val="ListBullet"/>
      </w:pPr>
      <w:r>
        <w:t>O autor do evento é a conta cuja consulta observou a transição. Não indica quem causou a falha.</w:t>
      </w:r>
    </w:p>
    <w:p>
      <w:pPr>
        <w:pStyle w:val="ListBullet"/>
      </w:pPr>
      <w:r>
        <w:t>Timeout do upstream é de cinco segundos; o cliente limita sua requisição a oito. O intervalo de dois segundos não é prazo garantido de detecção.</w:t>
      </w:r>
    </w:p>
    <w:p>
      <w:r>
        <w:br w:type="page"/>
      </w:r>
    </w:p>
    <w:p>
      <w:pPr>
        <w:pStyle w:val="Heading1"/>
      </w:pPr>
      <w:r>
        <w:t>11 Preferências locais e identidade visual</w:t>
      </w:r>
    </w:p>
    <w:p>
      <w:r>
        <w:t>Configurar conexão salva automaticamente endereços HTTP(S) válidos. Ao reabrir, o app carrega a configuração antes de liberar a interação. Rascunho incompleto não apaga o último endereço válido. Também são salvos tema claro/escuro e Reduzir animações. [S5]</w:t>
      </w:r>
    </w:p>
    <w:p>
      <w:r>
        <w:t>AsyncStorage foi adotado para esses campos não secretos. Na implementação web 2.2.0 instalada, ele utiliza localStorage. Dados são separados por instalação/perfil e origem web; localhost, IP e domínio Vercel não compartilham automaticamente a mesma configuração. Não há sincronização de preferências entre colegas. [9]</w:t>
      </w:r>
    </w:p>
    <w:p>
      <w:r>
        <w:t>A gravação é assíncrona e serializada para manter a ordem das alterações. Formato versionado e seleção explícita dos campos evitam guardar senha/token junto às preferências. Falhas de leitura/gravação têm aviso; JSON inválido usa valores padrão sem derrubar a entrada. A confirmação de salvamento deve ser aguardada antes de encerrar o processo.</w:t>
      </w:r>
    </w:p>
    <w:p>
      <w:pPr>
        <w:pStyle w:val="Heading2"/>
      </w:pPr>
      <w:r>
        <w:t>Marca para interface e ícone</w:t>
      </w:r>
    </w:p>
    <w:p>
      <w:r>
        <w:t>O símbolo e o nome SAMAHI foram separados. O componente Brand usa arquivos transparentes e escolhe o nome para fundo claro ou escuro, sem placa branca e sem descrição ilegível no cabeçalho. O ícone instalado usa somente símbolo; o nome aparece no rótulo do sistema. [S6]</w:t>
      </w:r>
    </w:p>
    <w:p>
      <w:r>
        <w:t>Há ícone base opaco de 1024 pixels, camadas adaptativa e monocromática para Android e favicon. A marca fica centralizada com margem para as máscaras do launcher. PNG é raster; não foi entregue matriz vetorial. A fonte visual existente foi refinada com ferramenta de imagem e os prompts foram registrados no manual da identidade. A fonte foi Arial Bold na rasterização do nome; o app usa os PNGs e não depende dessa fonte no telefone. [11, S6]</w:t>
      </w:r>
    </w:p>
    <w:p>
      <w:r>
        <w:t>Ícone temático depende de suporte e preferência do launcher. A configuração foi incluída no APK 0.6.0, mas o resultado no aparelho ainda precisa de evidência. Não há declaração de registro de marca ou exclusividade comercial.</w:t>
      </w:r>
    </w:p>
    <w:p>
      <w:r>
        <w:br w:type="page"/>
      </w:r>
    </w:p>
    <w:p>
      <w:pPr>
        <w:pStyle w:val="Heading1"/>
      </w:pPr>
      <w:r>
        <w:t>12 Rede operação local e transferência</w:t>
      </w:r>
    </w:p>
    <w:p>
      <w:r>
        <w:t>Na demonstração local, computador e telefone precisam se alcançar pela rede. O APK acessa o backend pelo IP do computador, nunca por localhost para se referir ao PC. O backend acessa o Node-RED localmente. Exemplos de porta não substituem a conferência da instância realmente em execução.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005"/>
        <w:gridCol w:w="4252"/>
      </w:tblGrid>
      <w:tr>
        <w:trPr>
          <w:tblHeader/>
          <w:cantSplit/>
        </w:trPr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Endereço de referência</w:t>
            </w:r>
          </w:p>
        </w:tc>
        <w:tc>
          <w:tcPr>
            <w:tcW w:type="dxa" w:w="42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Node-RED</w:t>
            </w:r>
          </w:p>
        </w:tc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127.0.0.1:1880</w:t>
            </w:r>
          </w:p>
        </w:tc>
        <w:tc>
          <w:tcPr>
            <w:tcW w:type="dxa" w:w="42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Editor e API restritos ao PC na configuração atual.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Backend padrão</w:t>
            </w:r>
          </w:p>
        </w:tc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127.0.0.1:3001</w:t>
            </w:r>
          </w:p>
        </w:tc>
        <w:tc>
          <w:tcPr>
            <w:tcW w:type="dxa" w:w="42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Acesso local do próprio computador.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Backend integrado ao telefone</w:t>
            </w:r>
          </w:p>
        </w:tc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IP escolhido:3002</w:t>
            </w:r>
          </w:p>
        </w:tc>
        <w:tc>
          <w:tcPr>
            <w:tcW w:type="dxa" w:w="42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Instância preparada pelo iniciador de integração.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Expo Go durante desenvolvimento</w:t>
            </w:r>
          </w:p>
        </w:tc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IP escolhido:8082</w:t>
            </w:r>
          </w:p>
        </w:tc>
        <w:tc>
          <w:tcPr>
            <w:tcW w:type="dxa" w:w="42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Distribui código para ensaio; APK instalado não precisa.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Site web local</w:t>
            </w:r>
          </w:p>
        </w:tc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Porta escolhida no Expo</w:t>
            </w:r>
          </w:p>
        </w:tc>
        <w:tc>
          <w:tcPr>
            <w:tcW w:type="dxa" w:w="42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Cliente web, separado do backend.</w:t>
            </w:r>
          </w:p>
        </w:tc>
      </w:tr>
    </w:tbl>
    <w:p>
      <w:pPr>
        <w:spacing w:after="20"/>
      </w:pPr>
    </w:p>
    <w:p>
      <w:r>
        <w:t>O iniciador Iniciar-App-Integrado.cmd prepara rede/serviços para desenvolvimento e pode abrir Expo. Isso não significa que o APK precise do Expo. O editor Node-RED não precisa ser exposto ao telefone. Redes com isolamento entre clientes ou firewall podem impedir acesso mesmo com Wi-Fi de mesmo nome. Vercel não torna o backend do notebook acessível automaticamente.</w:t>
      </w:r>
    </w:p>
    <w:p>
      <w:r>
        <w:t>A build interna aceita HTTP local; essa condição não é uma implantação HTTPS para uso externo. Acesso do site HTTPS ao backend privado depende de rede, protocolo e políticas do navegador. A disponibilização externa protegida continua pendente; não documentar túnel ou nuvem como entregues.</w:t>
      </w:r>
    </w:p>
    <w:p>
      <w:pPr>
        <w:pStyle w:val="Heading2"/>
      </w:pPr>
      <w:r>
        <w:t>Backup para outro notebook</w:t>
      </w:r>
    </w:p>
    <w:p>
      <w:r>
        <w:t>O script backend/backup.mjs usa VACUUM INTO para cópia consistente do SQLite e inclui auth-secret e, quando presente, node-red-lighting.json. [12] Instalar dependências no destino, restaurar os arquivos com os serviços parados, ajustar IP/caminhos e testar novamente. O fluxo e o settings do Node-RED precisam carregar o módulo do checkout correto. Guardar backup em local privado e não incluir contas/segredos na monografia. A transferência física ainda não foi registrada. [S1, S3]</w:t>
      </w:r>
    </w:p>
    <w:p>
      <w:r>
        <w:br w:type="page"/>
      </w:r>
    </w:p>
    <w:p>
      <w:pPr>
        <w:pStyle w:val="Heading1"/>
      </w:pPr>
      <w:r>
        <w:t>13 Verificações realizadas e seus limites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422"/>
        <w:gridCol w:w="3288"/>
      </w:tblGrid>
      <w:tr>
        <w:trPr>
          <w:tblHeader/>
          <w:cantSplit/>
        </w:trPr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4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Registro disponível</w:t>
            </w:r>
          </w:p>
        </w:tc>
        <w:tc>
          <w:tcPr>
            <w:tcW w:type="dxa" w:w="32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 que não demonstra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Código do cliente e domínio</w:t>
            </w:r>
          </w:p>
        </w:tc>
        <w:tc>
          <w:tcPr>
            <w:tcW w:type="dxa" w:w="4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24 testes aprovados, TypeScript, lint e exportação web antes do APK.</w:t>
            </w:r>
          </w:p>
        </w:tc>
        <w:tc>
          <w:tcPr>
            <w:tcW w:type="dxa" w:w="32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Usabilidade com pacientes/equipe clínica ou cobertura total.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Backend</w:t>
            </w:r>
          </w:p>
        </w:tc>
        <w:tc>
          <w:tcPr>
            <w:tcW w:type="dxa" w:w="4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Três suítes documentadas: acesso/persistência, cliente nativo HTTP e monitoramento.</w:t>
            </w:r>
          </w:p>
        </w:tc>
        <w:tc>
          <w:tcPr>
            <w:tcW w:type="dxa" w:w="32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Execução física em cada aparelho.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Horários</w:t>
            </w:r>
          </w:p>
        </w:tc>
        <w:tc>
          <w:tcPr>
            <w:tcW w:type="dxa" w:w="4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Relógio injetado, limites, meia-noite, 0%, manual, retomada e gravação/reinício.</w:t>
            </w:r>
          </w:p>
        </w:tc>
        <w:tc>
          <w:tcPr>
            <w:tcW w:type="dxa" w:w="32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Execução em ESP físico sem firmware adaptado.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Preferências</w:t>
            </w:r>
          </w:p>
        </w:tc>
        <w:tc>
          <w:tcPr>
            <w:tcW w:type="dxa" w:w="4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Store recriado e navegador fechado/reaberto; endereço, tema e acessibilidade.</w:t>
            </w:r>
          </w:p>
        </w:tc>
        <w:tc>
          <w:tcPr>
            <w:tcW w:type="dxa" w:w="32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Aceite de retenção no APK 0.6.0 instalado.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Navegador</w:t>
            </w:r>
          </w:p>
        </w:tc>
        <w:tc>
          <w:tcPr>
            <w:tcW w:type="dxa" w:w="4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Contas/banco descartáveis e larguras desktop/mobile; capturas neste pacote.</w:t>
            </w:r>
          </w:p>
        </w:tc>
        <w:tc>
          <w:tcPr>
            <w:tcW w:type="dxa" w:w="32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Foto de telefone ou operação de hardware.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Expo Go</w:t>
            </w:r>
          </w:p>
        </w:tc>
        <w:tc>
          <w:tcPr>
            <w:tcW w:type="dxa" w:w="4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César relatou health acessível, login e abertura de Quarto 01.</w:t>
            </w:r>
          </w:p>
        </w:tc>
        <w:tc>
          <w:tcPr>
            <w:tcW w:type="dxa" w:w="32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Aceite completo de gás, horários e controles no APK novo.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Build Android</w:t>
            </w:r>
          </w:p>
        </w:tc>
        <w:tc>
          <w:tcPr>
            <w:tcW w:type="dxa" w:w="442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EAS FINISHED e inspeção do arquivo gerado.</w:t>
            </w:r>
          </w:p>
        </w:tc>
        <w:tc>
          <w:tcPr>
            <w:tcW w:type="dxa" w:w="32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Instalação, rede e funcionamento no telefone.</w:t>
            </w:r>
          </w:p>
        </w:tc>
      </w:tr>
    </w:tbl>
    <w:p>
      <w:pPr>
        <w:spacing w:after="20"/>
      </w:pPr>
    </w:p>
    <w:p>
      <w:r>
        <w:t>Os números pertencem aos registros da etapa de software, não representam participantes de pesquisa. As três suítes de backend foram registradas nas etapas de autenticação, histórico e horários; não somar esse número aos 24 como se fossem 27 testes individuais.</w:t>
      </w:r>
    </w:p>
    <w:p>
      <w:r>
        <w:t>Em 17/10, foram feitas novas capturas de login, catálogo, programação, permissões, gás e histórico no cliente web com serviços descartáveis. A configuração Dia 07:00/80% e Noite 19:00/15% foi confirmada no serviço; gás foi injetado, reconhecido e exibido como alerta no histórico. Essas ações não alteraram banco ou atuadores da instância usada por César.</w:t>
      </w:r>
    </w:p>
    <w:p>
      <w:r>
        <w:t>Não há medição de latência fim a fim, consumo elétrico, sensibilidade/especificidade de detecção, disponibilidade prolongada ou satisfação de usuários. Para relatar essas métricas, será necessário definir método, executar ensaio e preservar resultados verificáveis.</w:t>
      </w:r>
    </w:p>
    <w:p>
      <w:r>
        <w:br w:type="page"/>
      </w:r>
    </w:p>
    <w:p>
      <w:pPr>
        <w:pStyle w:val="Heading1"/>
      </w:pPr>
      <w:r>
        <w:t>14 APK atual e rastreabilidade da versão</w:t>
      </w:r>
    </w:p>
    <w:p>
      <w:r>
        <w:t>O APK 0.6.0 foi concluído em 16/10/2026 às 20:41:51, horário de Brasília, pelo EAS Build. É distribuição interna com developmentClient false e buildType apk. Não é publicação em loja nem release final aceita pela equipe. [8, S8]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690"/>
      </w:tblGrid>
      <w:tr>
        <w:trPr>
          <w:tblHeader/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Identificação</w:t>
            </w:r>
          </w:p>
        </w:tc>
        <w:tc>
          <w:tcPr>
            <w:tcW w:type="dxa" w:w="6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Versão e código</w:t>
            </w:r>
          </w:p>
        </w:tc>
        <w:tc>
          <w:tcPr>
            <w:tcW w:type="dxa" w:w="6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0.6.0 / versionCode 5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Pacote</w:t>
            </w:r>
          </w:p>
        </w:tc>
        <w:tc>
          <w:tcPr>
            <w:tcW w:type="dxa" w:w="6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com.cesarcfw.tccmaqueteapp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Build EAS</w:t>
            </w:r>
          </w:p>
        </w:tc>
        <w:tc>
          <w:tcPr>
            <w:tcW w:type="dxa" w:w="6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2e0c80eb-c956-4203-9cbd-8dfca872bdbe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Código enviado</w:t>
            </w:r>
          </w:p>
        </w:tc>
        <w:tc>
          <w:tcPr>
            <w:tcW w:type="dxa" w:w="6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94f0ea1167ef74cf653ac13118bf0f0e8f6fd186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Tamanho</w:t>
            </w:r>
          </w:p>
        </w:tc>
        <w:tc>
          <w:tcPr>
            <w:tcW w:type="dxa" w:w="6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73.677.441 bytes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Android no manifesto</w:t>
            </w:r>
          </w:p>
        </w:tc>
        <w:tc>
          <w:tcPr>
            <w:tcW w:type="dxa" w:w="6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Mínimo API 24; alvo API 36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Configuração de rede</w:t>
            </w:r>
          </w:p>
        </w:tc>
        <w:tc>
          <w:tcPr>
            <w:tcW w:type="dxa" w:w="6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usesCleartextTraffic=true no perfil interno</w:t>
            </w:r>
          </w:p>
        </w:tc>
      </w:tr>
    </w:tbl>
    <w:p>
      <w:pPr>
        <w:spacing w:after="20"/>
      </w:pPr>
    </w:p>
    <w:p>
      <w:r>
        <w:t>SHA-256 do arquivo baixado:</w:t>
      </w:r>
    </w:p>
    <w:p>
      <w:pPr>
        <w:spacing w:after="160"/>
      </w:pPr>
      <w:r>
        <w:rPr>
          <w:rFonts w:ascii="Consolas" w:hAnsi="Consolas"/>
          <w:sz w:val="17"/>
        </w:rPr>
        <w:t>BF7EF2F30F70510E764BFDC2B20D4823</w:t>
        <w:br/>
        <w:t>3D1CAA4C7B0E10EF7EEAAABE5CF86773</w:t>
      </w:r>
    </w:p>
    <w:p>
      <w:r>
        <w:t>A quebra acima é apenas visual; remover a quebra para comparar o hash. O ZIP/APK contém 1.172 entradas, sem corrupção detectada, e classes.dex. O EAS reutilizou a keystore existente. A inspeção confirmou pacote, versão/código e HTTP local, sem realizar instalação.</w:t>
      </w:r>
    </w:p>
    <w:p>
      <w:hyperlink r:id="rId13">
        <w:r>
          <w:rPr>
            <w:color w:val="006398"/>
          </w:rPr>
          <w:t>Download do APK 0.6.0</w:t>
        </w:r>
      </w:hyperlink>
    </w:p>
    <w:p>
      <w:hyperlink r:id="rId14">
        <w:r>
          <w:rPr>
            <w:color w:val="006398"/>
          </w:rPr>
          <w:t>Registro da compilação no Expo</w:t>
        </w:r>
      </w:hyperlink>
    </w:p>
    <w:p>
      <w:r>
        <w:t>Instalar como atualização do SAMAHI anterior, manter backend/Node-RED atualizados e configurar IP/porta reais. O app instalado abre sem Metro ou Expo Go; serviços do computador continuam necessários para login e controle. Não é preciso incorporar o PR documental para usar o arquivo já compilado.</w:t>
      </w:r>
    </w:p>
    <w:p>
      <w:r>
        <w:t>A sequência de implementação foi PR 12 a 17: base APK, interface, histórico, horários, marca e preferências. A preparação/registro da 0.6.0 está no PR 19. GitHub flow fundamenta o uso de branches e revisões, mas o histórico próprio é a evidência do que foi desenvolvido. [10]</w:t>
      </w:r>
    </w:p>
    <w:p>
      <w:r>
        <w:br w:type="page"/>
      </w:r>
    </w:p>
    <w:p>
      <w:pPr>
        <w:pStyle w:val="Heading1"/>
      </w:pPr>
      <w:r>
        <w:t>Galeria de evidências da interface</w:t>
      </w:r>
    </w:p>
    <w:p>
      <w:r>
        <w:t>As figuras seguintes apoiam a apresentação do desenvolvimento. Capturas web em viewport mobile não são fotografias de telefone. Todas usam dados de ensaio; nomes e emails são fictícios. Para a versão final da monografia, associar cada figura ao teste descrito e registrar a versão. As imagens originais estão no diretório figuras do pacote.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3" name="Picture 3" descr="Figura 2 Entrada autenticada e identidade atu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 Entrada autenticada e identidade atual</w:t>
      </w:r>
    </w:p>
    <w:p>
      <w:pPr>
        <w:pStyle w:val="Caption"/>
      </w:pPr>
      <w:r>
        <w:t>Fonte: Captura web em ambiente descartável, 17/10/2026, código 0.6.0.</w:t>
      </w:r>
    </w:p>
    <w:p>
      <w:r>
        <w:t>O que esta imagem permite observar: Login real por email/senha e apresentação no tema escuro. A planta é ilustrativa, sem escala.</w:t>
      </w:r>
    </w:p>
    <w:p>
      <w:r>
        <w:t>TIRE PRINT DESTA PARTE: entrada no telefone e resultado da conexão, sem credenciais. MOSTRE FUNCIONANDO EM VÍDEO OU GIF: abrir o APK pelo ícone e entrar no ambiente autorizado.</w:t>
      </w:r>
    </w:p>
    <w:p>
      <w:r>
        <w:br w:type="page"/>
      </w:r>
    </w:p>
    <w:p>
      <w:pPr>
        <w:pStyle w:val="Heading1"/>
      </w:pPr>
      <w:r>
        <w:t>Galeria do painel em telas estreitas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6000" cy="5141908"/>
                  <wp:docPr id="4" name="Picture 4" descr="Painel mobile nos temas escuro e clar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mobile-escur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5141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6000" cy="5141908"/>
                  <wp:docPr id="5" name="Picture 5" descr="Painel mobile nos temas escuro e clar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mobile-clar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5141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Figura 3 Painel com composição mobile nos temas escuro e claro</w:t>
      </w:r>
    </w:p>
    <w:p>
      <w:pPr>
        <w:pStyle w:val="Caption"/>
      </w:pPr>
      <w:r>
        <w:t>Fonte: capturas web 390 × 844 registradas na etapa da identidade, 16/10/2026. Não são capturas de APK instalado.</w:t>
      </w:r>
    </w:p>
    <w:p>
      <w:r>
        <w:t>O cabeçalho usa símbolo/nome separados e navegação inferior. A parte visível contém estado da luz, intensidade e início da programação. Os valores são do ambiente virtual e não representam condições medidas de um quarto físico.</w:t>
      </w:r>
    </w:p>
    <w:p>
      <w:r>
        <w:t>TIRE PRINT DESTA PARTE: o mesmo painel no APK 0.6.0 instalado. MOSTRE FUNCIONANDO EM VÍDEO OU GIF: alternar tema, navegar e alterar intensidade com confirmação.</w:t>
      </w:r>
    </w:p>
    <w:p>
      <w:r>
        <w:br w:type="page"/>
      </w:r>
    </w:p>
    <w:p>
      <w:pPr>
        <w:pStyle w:val="Heading1"/>
      </w:pPr>
      <w:r>
        <w:t>Galeria de administração e permissões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781250"/>
            <wp:docPr id="6" name="Picture 6" descr="Figura 4 Administração de concessões por ambien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ermisso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 Administração de concessões por ambiente</w:t>
      </w:r>
    </w:p>
    <w:p>
      <w:pPr>
        <w:pStyle w:val="Caption"/>
      </w:pPr>
      <w:r>
        <w:t>Fonte: Captura web com conta fictícia e banco descartável, 17/10/2026.</w:t>
      </w:r>
    </w:p>
    <w:p>
      <w:r>
        <w:t>O que esta imagem permite observar: Escolha de pessoa/quarto e níveis separados para luz, sensores, Manchester e histórico.</w:t>
      </w:r>
    </w:p>
    <w:p>
      <w:r>
        <w:t>A captura mostra a matriz e as concessões da conta selecionada. Não comprova sozinha o bloqueio no servidor. Esse comportamento é sustentado pelos testes de autorização; a gravação manual deve mostrar antes/depois e resposta da API.</w:t>
      </w:r>
    </w:p>
    <w:p>
      <w:r>
        <w:t>TIRE PRINT DESTA PARTE: permissões salvas e visão da conta com acesso limitado. MOSTRE FUNCIONANDO EM VÍDEO OU GIF: conceder leitura, entrar como usuário, comprovar controle bloqueado; depois conceder controle e repetir.</w:t>
      </w:r>
    </w:p>
    <w:p>
      <w:r>
        <w:br w:type="page"/>
      </w:r>
    </w:p>
    <w:p>
      <w:pPr>
        <w:pStyle w:val="Heading1"/>
      </w:pPr>
      <w:r>
        <w:t>Galeria da programação diária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7" name="Picture 7" descr="Figura 5 Programação Dia e Noite confirmada pelo serviç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gramac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 Programação Dia e Noite confirmada pelo serviço</w:t>
      </w:r>
    </w:p>
    <w:p>
      <w:pPr>
        <w:pStyle w:val="Caption"/>
      </w:pPr>
      <w:r>
        <w:t>Fonte: Captura web em ambiente descartável, 17/10/2026.</w:t>
      </w:r>
    </w:p>
    <w:p>
      <w:r>
        <w:t>O que esta imagem permite observar: Configuração Dia 07:00/80% e Noite 19:00/15%, modo Noite e confirmação do serviço virtual.</w:t>
      </w:r>
    </w:p>
    <w:p>
      <w:r>
        <w:t>Estes valores foram escolhidos para o ensaio e não são recomendação de iluminação hospitalar. A captura registra o estado final da programação; o teste de virada com app fechado precisa de vídeo ou sequência com horários identificados.</w:t>
      </w:r>
    </w:p>
    <w:p>
      <w:r>
        <w:t>TIRE PRINT DESTA PARTE: horários, intensidades e modo confirmado. MOSTRE FUNCIONANDO EM VÍDEO OU GIF: salvar, fechar app antes da virada, reabrir, usar manual e retomar os horários. Registrar relógio sincronizado e Node-RED ativo.</w:t>
      </w:r>
    </w:p>
    <w:p>
      <w:r>
        <w:br w:type="page"/>
      </w:r>
    </w:p>
    <w:p>
      <w:pPr>
        <w:pStyle w:val="Heading1"/>
      </w:pPr>
      <w:r>
        <w:t>Galeria de alerta ambiental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781250"/>
            <wp:docPr id="8" name="Picture 8" descr="Figura 6 Faixa de alerta de gás sobre a interf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 Faixa de alerta de gás sobre a interface</w:t>
      </w:r>
    </w:p>
    <w:p>
      <w:pPr>
        <w:pStyle w:val="Caption"/>
      </w:pPr>
      <w:r>
        <w:t>Fonte: Captura web após injeção de gás no serviço virtual isolado, 17/10/2026.</w:t>
      </w:r>
    </w:p>
    <w:p>
      <w:r>
        <w:t>O que esta imagem permite observar: Alerta de largura total, botões de reconhecimento e separação explícita da triagem do paciente.</w:t>
      </w:r>
    </w:p>
    <w:p>
      <w:r>
        <w:t>Imagem estática não comprova animação em loop nem saída lateral. Reconhecimento confirma ciência do alerta; não remove a leitura de gás. O ensaio usa uma entrada controlada do simulador, sem exposição física.</w:t>
      </w:r>
    </w:p>
    <w:p>
      <w:r>
        <w:t>TIRE PRINT DESTA PARTE: faixa e estado de detecção no quarto. MOSTRE FUNCIONANDO EM VÍDEO OU GIF: ativar gás no Node-RED, observar faixa, reconhecer, voltar ao app e retirar a detecção; conferir Manchester preservado. Com Reduzir animações ativo, registrar o comportamento sem exigir movimento.</w:t>
      </w:r>
    </w:p>
    <w:p>
      <w:r>
        <w:br w:type="page"/>
      </w:r>
    </w:p>
    <w:p>
      <w:pPr>
        <w:pStyle w:val="Heading1"/>
      </w:pPr>
      <w:r>
        <w:t>Galeria do histórico de falhas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4781250"/>
            <wp:docPr id="9" name="Picture 9" descr="Figura 7 Histórico filtrado por falhas e alert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historic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 Histórico filtrado por falhas e alertas</w:t>
      </w:r>
    </w:p>
    <w:p>
      <w:pPr>
        <w:pStyle w:val="Caption"/>
      </w:pPr>
      <w:r>
        <w:t>Fonte: Captura web de banco descartável, 17/10/2026.</w:t>
      </w:r>
    </w:p>
    <w:p>
      <w:r>
        <w:t>O que esta imagem permite observar: Gás aparece na categoria de alerta. O banco de ensaio também contém transições registradas em verificações anteriores.</w:t>
      </w:r>
    </w:p>
    <w:p>
      <w:r>
        <w:t>A figura não registra uma nova queda de comunicação em 17/10. As linhas anteriores de perda de comunicação pertencem ao histórico do banco descartável e devem ser descritas como registros de desenvolvimento, sem atribuir todos os eventos ao teste desta captura.</w:t>
      </w:r>
    </w:p>
    <w:p>
      <w:r>
        <w:t>TIRE PRINT DESTA PARTE: nova sequência com falha, normalização e recuperação. MOSTRE FUNCIONANDO EM VÍDEO OU GIF: interromper somente o serviço do ambiente, mantendo backend e consulta ativos; retomar e conferir que o mesmo estado não se repete a cada consulta.</w:t>
      </w:r>
    </w:p>
    <w:p>
      <w:r>
        <w:br w:type="page"/>
      </w:r>
    </w:p>
    <w:p>
      <w:pPr>
        <w:pStyle w:val="Heading1"/>
      </w:pPr>
      <w:r>
        <w:t>Galeria das preferências e da identidade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0" name="Picture 10" descr="Figura 8 Endereço do backend restaurado na entr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nexao-restaurad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8 Endereço do backend restaurado na entrada</w:t>
      </w:r>
    </w:p>
    <w:p>
      <w:pPr>
        <w:pStyle w:val="Caption"/>
      </w:pPr>
      <w:r>
        <w:t>Fonte: Captura web da implementação das preferências, 16/10/2026.</w:t>
      </w:r>
    </w:p>
    <w:p>
      <w:r>
        <w:t>O que esta imagem permite observar: Endereço de ensaio 127.0.0.1:3104 após fechar e reabrir a aba; tema claro preservado.</w:t>
      </w:r>
    </w:p>
    <w:p>
      <w:r>
        <w:t>O endereço da figura pertence ao computador do ensaio. No telefone, substituir por IP de rede do servidor. A retenção observada aqui é do navegador; repetir no APK atual para evidência física.</w:t>
      </w:r>
    </w:p>
    <w:p>
      <w:r>
        <w:drawing>
          <wp:inline xmlns:a="http://schemas.openxmlformats.org/drawingml/2006/main" xmlns:pic="http://schemas.openxmlformats.org/drawingml/2006/picture">
            <wp:extent cx="2700000" cy="64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orizontal-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9 Assinatura horizontal atual com símbolo e nome separados</w:t>
      </w:r>
    </w:p>
    <w:p>
      <w:pPr>
        <w:pStyle w:val="Caption"/>
      </w:pPr>
      <w:r>
        <w:t>Fonte: assets/brand; refinamento da marca existente com ferramenta de imagem e exportação técnica. A prancha completa está em figuras/11-identidade.png. Não comprova o ícone já instalado no telefone.</w:t>
      </w:r>
    </w:p>
    <w:p>
      <w:r>
        <w:t>TIRE PRINT DESTA PARTE: fechar/reabrir o APK e mostrar conexão/tema preservados e ícone do launcher. Não usar a prancha gráfica como fotografia de aparelho.</w:t>
      </w:r>
    </w:p>
    <w:p>
      <w:r>
        <w:br w:type="page"/>
      </w:r>
    </w:p>
    <w:p>
      <w:pPr>
        <w:pStyle w:val="Heading1"/>
      </w:pPr>
      <w:r>
        <w:t>15 Evidências pendentes e próximos passos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948"/>
        <w:gridCol w:w="4932"/>
      </w:tblGrid>
      <w:tr>
        <w:trPr>
          <w:tblHeader/>
          <w:cantSplit/>
        </w:trP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Atividade</w:t>
            </w:r>
          </w:p>
        </w:tc>
        <w:tc>
          <w:tcPr>
            <w:tcW w:type="dxa" w:w="49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Responsável e resultado necessário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Imediata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Aceite do APK 0.6.0</w:t>
            </w:r>
          </w:p>
        </w:tc>
        <w:tc>
          <w:tcPr>
            <w:tcW w:type="dxa" w:w="49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César e equipe: instalar, registrar aparelho/Android e executar fluxo completo.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Imediata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Retenção e horários</w:t>
            </w:r>
          </w:p>
        </w:tc>
        <w:tc>
          <w:tcPr>
            <w:tcW w:type="dxa" w:w="49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César: fechar/reabrir app; virada com app fechado; manual/retomada e reinício do serviço.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Imediata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Material acadêmico</w:t>
            </w:r>
          </w:p>
        </w:tc>
        <w:tc>
          <w:tcPr>
            <w:tcW w:type="dxa" w:w="49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Matheus: inserir método e resultados restritos ao que foi observado; atualizar figuras/legendas.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Próxima integração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Contrato físico ESP32</w:t>
            </w:r>
          </w:p>
        </w:tc>
        <w:tc>
          <w:tcPr>
            <w:tcW w:type="dxa" w:w="49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César e Gabriel: transporte de rede, identidade, telemetria e ACK do equipamento real.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Próxima integração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Circuito e sensores</w:t>
            </w:r>
          </w:p>
        </w:tc>
        <w:tc>
          <w:tcPr>
            <w:tcW w:type="dxa" w:w="49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Gabriel: pinagem final, alimentação, PWM, indicador RGB, leitura e falhas reais.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Antes da apresentação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Notebook e rede</w:t>
            </w:r>
          </w:p>
        </w:tc>
        <w:tc>
          <w:tcPr>
            <w:tcW w:type="dxa" w:w="49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Equipe: restaurar backup, testar conexão, acesso e recuperação na rede escolhida.</w:t>
            </w:r>
          </w:p>
        </w:tc>
      </w:tr>
    </w:tbl>
    <w:p>
      <w:pPr>
        <w:spacing w:after="20"/>
      </w:pPr>
    </w:p>
    <w:p>
      <w:r>
        <w:t>O código de bancada enviado originalmente usava DHT22, entrada analógica de gás/LDR, LED e buzzer. Ele é referência de estudo, não comprovação da versão física atual. Não basta apontar o app para o link Wokwi: o sistema físico precisa falar o contrato de rede, validar IDs e confirmar aplicação. O status applied_in_simulator não deve ser reutilizado para fingir execução em hardware.</w:t>
      </w:r>
    </w:p>
    <w:p>
      <w:r>
        <w:t>Para a monografia, recolher diagrama elétrico e lista efetivamente usada com Gabriel. Medir e registrar testes físicos antes de afirmar detecção real, faixa de operação ou intensidade luminosa. Ficam fora da entrega atual fechadura, controle clínico, identificação de gás e disponibilidade contínua.</w:t>
      </w:r>
    </w:p>
    <w:p>
      <w:r>
        <w:t>Modelo de registro de teste: identificador, versão, data/hora, ambiente, pré-condição, passos, resultado esperado, resultado observado, arquivo de evidência e responsável. Marcar aprovado somente após observação; campo não executado permanece pendente.</w:t>
      </w:r>
    </w:p>
    <w:p>
      <w:r>
        <w:br w:type="page"/>
      </w:r>
    </w:p>
    <w:p>
      <w:pPr>
        <w:pStyle w:val="Heading1"/>
      </w:pPr>
      <w:r>
        <w:t>16 Orientação para a redação da monografia</w:t>
      </w:r>
    </w:p>
    <w:p>
      <w:pPr>
        <w:pStyle w:val="Heading2"/>
      </w:pPr>
      <w:r>
        <w:t>Onde inserir cada assunto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633"/>
      </w:tblGrid>
      <w:tr>
        <w:trPr>
          <w:tblHeader/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Parte da monografia</w:t>
            </w:r>
          </w:p>
        </w:tc>
        <w:tc>
          <w:tcPr>
            <w:tcW w:type="dxa" w:w="663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Conteúdo deste pacote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Metodologia</w:t>
            </w:r>
          </w:p>
        </w:tc>
        <w:tc>
          <w:tcPr>
            <w:tcW w:type="dxa" w:w="663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Desenvolvimento incremental, stack, contrato, cenários virtuais e critérios de teste.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Desenvolvimento</w:t>
            </w:r>
          </w:p>
        </w:tc>
        <w:tc>
          <w:tcPr>
            <w:tcW w:type="dxa" w:w="663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Arquitetura, autenticação, modelo persistente, regras e interface multiplataforma.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Resultados</w:t>
            </w:r>
          </w:p>
        </w:tc>
        <w:tc>
          <w:tcPr>
            <w:tcW w:type="dxa" w:w="663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Capturas e ensaios documentados; build gerada, sem presumir instalação.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Discussão e limitações</w:t>
            </w:r>
          </w:p>
        </w:tc>
        <w:tc>
          <w:tcPr>
            <w:tcW w:type="dxa" w:w="663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Dependência de consulta, serviço local, um dispositivo e ausência de validação física/clínica.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Trabalhos futuros</w:t>
            </w:r>
          </w:p>
        </w:tc>
        <w:tc>
          <w:tcPr>
            <w:tcW w:type="dxa" w:w="663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8"/>
              </w:rPr>
              <w:t>Integração do ESP32, aceite no telefone, rede/notebook e expansões.</w:t>
            </w:r>
          </w:p>
        </w:tc>
      </w:tr>
    </w:tbl>
    <w:p>
      <w:pPr>
        <w:spacing w:after="20"/>
      </w:pPr>
    </w:p>
    <w:p>
      <w:pPr>
        <w:pStyle w:val="Heading2"/>
      </w:pPr>
      <w:r>
        <w:t>Texto de apoio para adaptar</w:t>
      </w:r>
    </w:p>
    <w:p>
      <w:r>
        <w:t>Foi desenvolvido o SAMAHI para reunir o controle e o acompanhamento das funções previstas na maquete de um quarto. A interface foi implementada com Expo, React Native e TypeScript, permitindo composições adequadas ao navegador e ao dispositivo móvel. O acesso às funções ocorre após autenticação e depende das concessões atribuídas a cada usuário e ambiente.</w:t>
      </w:r>
    </w:p>
    <w:p>
      <w:r>
        <w:t>A comunicação é intermediada por um backend em Node.js, responsável por validar sessões, permissões e comandos e por manter os registros no SQLite. Na etapa documentada, o Node-RED representa o dispositivo de forma virtual e fornece telemetria e confirmações por HTTP e JSON. A interface só apresenta uma alteração como confirmada após validar a resposta recebida.</w:t>
      </w:r>
    </w:p>
    <w:p>
      <w:r>
        <w:t>Os ensaios registrados incluem controle manual da luz, programação diária por horários de Brasília, alerta ambiental independente do indicador Manchester e histórico de falhas observadas. A versão Android 0.6.0 foi compilada e o arquivo gerado foi inspecionado. A validação integral do APK instalado e a integração com equipamentos físicos permanecem como etapas a realizar.</w:t>
      </w:r>
    </w:p>
    <w:p>
      <w:r>
        <w:t>Estes parágrafos são uma síntese própria de apoio, não um capítulo pronto ou evidência adicional. Matheus deve adequar termos, estrutura e citações à monografia e às orientações da UDF. O apoio de ferramentas de IA no desenvolvimento e na documentação deve ser descrito conforme as regras da instituição, sem apresentar fontes tecnológicas como resultados experimentais próprios.</w:t>
      </w:r>
    </w:p>
    <w:p>
      <w:r>
        <w:br w:type="page"/>
      </w:r>
    </w:p>
    <w:p>
      <w:pPr>
        <w:pStyle w:val="Heading1"/>
      </w:pPr>
      <w:r>
        <w:t>17 Referências técnicas consultadas</w:t>
      </w:r>
    </w:p>
    <w:p>
      <w:r>
        <w:t>Links oficiais verificados em 17/10/2026. As fontes abaixo sustentam conceitos e uso de tecnologias. Resultados, valores e regras do SAMAHI são sustentados pelo código e pelos registros próprios S1 a S8, não por estes sites. A lista é um guia bibliográfico; adaptar a formatação exigida pela instituição.</w:t>
      </w:r>
    </w:p>
    <w:p>
      <w:r>
        <w:t>[1] EXPO. Develop websites with Expo.</w:t>
      </w:r>
    </w:p>
    <w:p>
      <w:hyperlink r:id="rId23">
        <w:r>
          <w:rPr>
            <w:color w:val="006398"/>
          </w:rPr>
          <w:t>Abrir fonte oficial</w:t>
        </w:r>
      </w:hyperlink>
    </w:p>
    <w:p>
      <w:pPr>
        <w:pStyle w:val="Caption"/>
      </w:pPr>
      <w:r>
        <w:t>Base para reutilização de interface e exportação web.</w:t>
      </w:r>
    </w:p>
    <w:p>
      <w:r>
        <w:t>[2] BETTER AUTH. Express Integration.</w:t>
      </w:r>
    </w:p>
    <w:p>
      <w:hyperlink r:id="rId24">
        <w:r>
          <w:rPr>
            <w:color w:val="006398"/>
          </w:rPr>
          <w:t>Abrir fonte oficial</w:t>
        </w:r>
      </w:hyperlink>
    </w:p>
    <w:p>
      <w:pPr>
        <w:pStyle w:val="Caption"/>
      </w:pPr>
      <w:r>
        <w:t>Integração de autenticação ao servidor Express.</w:t>
      </w:r>
    </w:p>
    <w:p>
      <w:r>
        <w:t>[3] NODE.JS. SQLite API.</w:t>
      </w:r>
    </w:p>
    <w:p>
      <w:hyperlink r:id="rId25">
        <w:r>
          <w:rPr>
            <w:color w:val="006398"/>
          </w:rPr>
          <w:t>Abrir fonte oficial</w:t>
        </w:r>
      </w:hyperlink>
    </w:p>
    <w:p>
      <w:pPr>
        <w:pStyle w:val="Caption"/>
      </w:pPr>
      <w:r>
        <w:t>Acesso SQLite pelo runtime; consultar versão correspondente ao ambiente.</w:t>
      </w:r>
    </w:p>
    <w:p>
      <w:r>
        <w:t>[4] NODE-RED. Working with messages.</w:t>
      </w:r>
    </w:p>
    <w:p>
      <w:hyperlink r:id="rId26">
        <w:r>
          <w:rPr>
            <w:color w:val="006398"/>
          </w:rPr>
          <w:t>Abrir fonte oficial</w:t>
        </w:r>
      </w:hyperlink>
    </w:p>
    <w:p>
      <w:pPr>
        <w:pStyle w:val="Caption"/>
      </w:pPr>
      <w:r>
        <w:t>Mensagens no fluxo do serviço.</w:t>
      </w:r>
    </w:p>
    <w:p>
      <w:r>
        <w:t>[5] MDN. Intl.DateTimeFormat constructor.</w:t>
      </w:r>
    </w:p>
    <w:p>
      <w:hyperlink r:id="rId27">
        <w:r>
          <w:rPr>
            <w:color w:val="006398"/>
          </w:rPr>
          <w:t>Abrir fonte oficial</w:t>
        </w:r>
      </w:hyperlink>
    </w:p>
    <w:p>
      <w:pPr>
        <w:pStyle w:val="Caption"/>
      </w:pPr>
      <w:r>
        <w:t>Seleção explícita do fuso no cálculo/representação do horário.</w:t>
      </w:r>
    </w:p>
    <w:p>
      <w:r>
        <w:t>[6] ESPRESSIF. Arduino ESP32 ADC.</w:t>
      </w:r>
    </w:p>
    <w:p>
      <w:hyperlink r:id="rId28">
        <w:r>
          <w:rPr>
            <w:color w:val="006398"/>
          </w:rPr>
          <w:t>Abrir fonte oficial</w:t>
        </w:r>
      </w:hyperlink>
    </w:p>
    <w:p>
      <w:pPr>
        <w:pStyle w:val="Caption"/>
      </w:pPr>
      <w:r>
        <w:t>Leitura analógica; não fundamenta identificação química.</w:t>
      </w:r>
    </w:p>
    <w:p>
      <w:r>
        <w:br w:type="page"/>
      </w:r>
    </w:p>
    <w:p>
      <w:pPr>
        <w:pStyle w:val="Heading1"/>
      </w:pPr>
      <w:r>
        <w:t>Referências técnicas e registros próprios</w:t>
      </w:r>
    </w:p>
    <w:p>
      <w:r>
        <w:t>[7] GRUPO BRASILEIRO DE CLASSIFICAÇÃO DE RISCO. Nota Técnica. Belo Horizonte, julho de 2024.</w:t>
      </w:r>
    </w:p>
    <w:p>
      <w:hyperlink r:id="rId29">
        <w:r>
          <w:rPr>
            <w:color w:val="006398"/>
          </w:rPr>
          <w:t>Abrir fonte oficial</w:t>
        </w:r>
      </w:hyperlink>
    </w:p>
    <w:p>
      <w:pPr>
        <w:pStyle w:val="Caption"/>
      </w:pPr>
      <w:r>
        <w:t>Página 1: associação entre cores e prioridades Manchester.</w:t>
      </w:r>
    </w:p>
    <w:p>
      <w:r>
        <w:t>[8] EXPO. Build APKs for Android Emulators and devices.</w:t>
      </w:r>
    </w:p>
    <w:p>
      <w:hyperlink r:id="rId30">
        <w:r>
          <w:rPr>
            <w:color w:val="006398"/>
          </w:rPr>
          <w:t>Abrir fonte oficial</w:t>
        </w:r>
      </w:hyperlink>
    </w:p>
    <w:p>
      <w:pPr>
        <w:pStyle w:val="Caption"/>
      </w:pPr>
      <w:r>
        <w:t>Compilação e instalação de APK.</w:t>
      </w:r>
    </w:p>
    <w:p>
      <w:r>
        <w:t>[9] EXPO. AsyncStorage.</w:t>
      </w:r>
    </w:p>
    <w:p>
      <w:hyperlink r:id="rId31">
        <w:r>
          <w:rPr>
            <w:color w:val="006398"/>
          </w:rPr>
          <w:t>Abrir fonte oficial</w:t>
        </w:r>
      </w:hyperlink>
    </w:p>
    <w:p>
      <w:pPr>
        <w:pStyle w:val="Caption"/>
      </w:pPr>
      <w:r>
        <w:t>Persistência assíncrona de dados não secretos.</w:t>
      </w:r>
    </w:p>
    <w:p>
      <w:r>
        <w:t>[10] GITHUB. GitHub flow.</w:t>
      </w:r>
    </w:p>
    <w:p>
      <w:hyperlink r:id="rId32">
        <w:r>
          <w:rPr>
            <w:color w:val="006398"/>
          </w:rPr>
          <w:t>Abrir fonte oficial</w:t>
        </w:r>
      </w:hyperlink>
    </w:p>
    <w:p>
      <w:pPr>
        <w:pStyle w:val="Caption"/>
      </w:pPr>
      <w:r>
        <w:t>Branches, commits e pull requests.</w:t>
      </w:r>
    </w:p>
    <w:p>
      <w:r>
        <w:t>[11] ANDROID DEVELOPERS. Adaptive icons.</w:t>
      </w:r>
    </w:p>
    <w:p>
      <w:hyperlink r:id="rId33">
        <w:r>
          <w:rPr>
            <w:color w:val="006398"/>
          </w:rPr>
          <w:t>Abrir fonte oficial</w:t>
        </w:r>
      </w:hyperlink>
    </w:p>
    <w:p>
      <w:pPr>
        <w:pStyle w:val="Caption"/>
      </w:pPr>
      <w:r>
        <w:t>Camadas e recortes de ícones Android.</w:t>
      </w:r>
    </w:p>
    <w:p>
      <w:r>
        <w:t>[12] SQLITE. VACUUM.</w:t>
      </w:r>
    </w:p>
    <w:p>
      <w:hyperlink r:id="rId34">
        <w:r>
          <w:rPr>
            <w:color w:val="006398"/>
          </w:rPr>
          <w:t>Abrir fonte oficial</w:t>
        </w:r>
      </w:hyperlink>
    </w:p>
    <w:p>
      <w:pPr>
        <w:pStyle w:val="Caption"/>
      </w:pPr>
      <w:r>
        <w:t>Cópia de banco por VACUUM INTO.</w:t>
      </w:r>
    </w:p>
    <w:p>
      <w:r>
        <w:br w:type="page"/>
      </w:r>
    </w:p>
    <w:p>
      <w:pPr>
        <w:pStyle w:val="Heading1"/>
      </w:pPr>
      <w:r>
        <w:t>Registros do desenvolvimento para consulta</w:t>
      </w:r>
    </w:p>
    <w:p>
      <w:r>
        <w:t>Fontes próprias versionadas no GitHub privado. Este pacote consolida o estágio atual; manuais antigos podem conter trechos históricos. Utilizar os documentos específicos abaixo e não copiar isoladamente a arquitetura antiga da 0.3.0 para descrever a 0.6.0.</w:t>
      </w:r>
    </w:p>
    <w:p>
      <w:r>
        <w:t>[S1] Equipe SAMAHI. Autenticação e persistência locais. Revisão 34b55fe.</w:t>
      </w:r>
    </w:p>
    <w:p>
      <w:hyperlink r:id="rId35">
        <w:r>
          <w:rPr>
            <w:color w:val="006398"/>
          </w:rPr>
          <w:t>Consultar registro versionado</w:t>
        </w:r>
      </w:hyperlink>
    </w:p>
    <w:p>
      <w:r>
        <w:t>[S2] Equipe SAMAHI. Integração Node-RED local e código atual. Revisão 34b55fe.</w:t>
      </w:r>
    </w:p>
    <w:p>
      <w:hyperlink r:id="rId36">
        <w:r>
          <w:rPr>
            <w:color w:val="006398"/>
          </w:rPr>
          <w:t>Consultar registro versionado</w:t>
        </w:r>
      </w:hyperlink>
    </w:p>
    <w:p>
      <w:r>
        <w:t>[S3] Equipe SAMAHI. Modos Dia e Noite. Revisão 34b55fe.</w:t>
      </w:r>
    </w:p>
    <w:p>
      <w:hyperlink r:id="rId37">
        <w:r>
          <w:rPr>
            <w:color w:val="006398"/>
          </w:rPr>
          <w:t>Consultar registro versionado</w:t>
        </w:r>
      </w:hyperlink>
    </w:p>
    <w:p>
      <w:r>
        <w:t>[S4] Equipe SAMAHI. Histórico de falhas e alertas. Revisão 34b55fe.</w:t>
      </w:r>
    </w:p>
    <w:p>
      <w:hyperlink r:id="rId38">
        <w:r>
          <w:rPr>
            <w:color w:val="006398"/>
          </w:rPr>
          <w:t>Consultar registro versionado</w:t>
        </w:r>
      </w:hyperlink>
    </w:p>
    <w:p>
      <w:r>
        <w:t>[S5] Equipe SAMAHI. Preferências locais. Revisão 34b55fe.</w:t>
      </w:r>
    </w:p>
    <w:p>
      <w:hyperlink r:id="rId39">
        <w:r>
          <w:rPr>
            <w:color w:val="006398"/>
          </w:rPr>
          <w:t>Consultar registro versionado</w:t>
        </w:r>
      </w:hyperlink>
    </w:p>
    <w:p>
      <w:r>
        <w:t>[S6] Equipe SAMAHI. Identidade visual. Revisão 34b55fe.</w:t>
      </w:r>
    </w:p>
    <w:p>
      <w:hyperlink r:id="rId40">
        <w:r>
          <w:rPr>
            <w:color w:val="006398"/>
          </w:rPr>
          <w:t>Consultar registro versionado</w:t>
        </w:r>
      </w:hyperlink>
    </w:p>
    <w:p>
      <w:r>
        <w:t>[S7] Equipe SAMAHI. Manifest do app e dependências. Revisão 34b55fe.</w:t>
      </w:r>
    </w:p>
    <w:p>
      <w:hyperlink r:id="rId41">
        <w:r>
          <w:rPr>
            <w:color w:val="006398"/>
          </w:rPr>
          <w:t>Consultar registro versionado</w:t>
        </w:r>
      </w:hyperlink>
    </w:p>
    <w:p>
      <w:r>
        <w:t>[S8] Equipe SAMAHI. Registro do APK 0.6.0. Revisão 34b55fe.</w:t>
      </w:r>
    </w:p>
    <w:p>
      <w:hyperlink r:id="rId42">
        <w:r>
          <w:rPr>
            <w:color w:val="006398"/>
          </w:rPr>
          <w:t>Consultar registro versionado</w:t>
        </w:r>
      </w:hyperlink>
    </w:p>
    <w:p>
      <w:hyperlink r:id="rId43">
        <w:r>
          <w:rPr>
            <w:color w:val="006398"/>
          </w:rPr>
          <w:t>Planejamento no Trello</w:t>
        </w:r>
      </w:hyperlink>
    </w:p>
    <w:p>
      <w:hyperlink r:id="rId44">
        <w:r>
          <w:rPr>
            <w:color w:val="006398"/>
          </w:rPr>
          <w:t>Documentação de acompanhamento no Notion</w:t>
        </w:r>
      </w:hyperlink>
    </w:p>
    <w:p>
      <w:r>
        <w:t>O catálogo de figuras identifica as capturas incluídas. Preservar originais para inserção na monografia, escolher escala legível e manter o contexto de ensaio em cada legenda. Não houve envio deste material por mensagem ao Matheus; o pacote é entregue a César para compartilhar.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Registro de 17 outubro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SAMAHI  |  Documentação para a monografia  |  Versão 0.6.0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/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/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" w:hAnsi="Arial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expo.dev/artifacts/eas/vynnqHF10jovO-4yS0iiKo6ThQPvbXE5RQsRiSutVhI.apk" TargetMode="External"/><Relationship Id="rId14" Type="http://schemas.openxmlformats.org/officeDocument/2006/relationships/hyperlink" Target="https://expo.dev/accounts/cesarcfw/projects/tcc-maquete-app/builds/2e0c80eb-c956-4203-9cbd-8dfca872bdbe" TargetMode="Externa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hyperlink" Target="https://docs.expo.dev/workflow/web/" TargetMode="External"/><Relationship Id="rId24" Type="http://schemas.openxmlformats.org/officeDocument/2006/relationships/hyperlink" Target="https://better-auth.com/docs/integrations/express" TargetMode="External"/><Relationship Id="rId25" Type="http://schemas.openxmlformats.org/officeDocument/2006/relationships/hyperlink" Target="https://nodejs.org/api/sqlite.html" TargetMode="External"/><Relationship Id="rId26" Type="http://schemas.openxmlformats.org/officeDocument/2006/relationships/hyperlink" Target="https://nodered.org/docs/user-guide/messages" TargetMode="External"/><Relationship Id="rId27" Type="http://schemas.openxmlformats.org/officeDocument/2006/relationships/hyperlink" Target="https://developer.mozilla.org/en-US/docs/Web/JavaScript/Reference/Global_Objects/Intl/DateTimeFormat/DateTimeFormat" TargetMode="External"/><Relationship Id="rId28" Type="http://schemas.openxmlformats.org/officeDocument/2006/relationships/hyperlink" Target="https://docs.espressif.com/projects/arduino-esp32/en/latest/api/adc.html" TargetMode="External"/><Relationship Id="rId29" Type="http://schemas.openxmlformats.org/officeDocument/2006/relationships/hyperlink" Target="https://www.gbcr.org.br/wp-content/uploads/2024/07/Nota-Tecnica-GBCR-Pais-preocupados-mal-estar.pdf" TargetMode="External"/><Relationship Id="rId30" Type="http://schemas.openxmlformats.org/officeDocument/2006/relationships/hyperlink" Target="https://docs.expo.dev/build-reference/apk/" TargetMode="External"/><Relationship Id="rId31" Type="http://schemas.openxmlformats.org/officeDocument/2006/relationships/hyperlink" Target="https://docs.expo.dev/versions/latest/sdk/async-storage/" TargetMode="External"/><Relationship Id="rId32" Type="http://schemas.openxmlformats.org/officeDocument/2006/relationships/hyperlink" Target="https://docs.github.com/en/get-started/using-github/github-flow" TargetMode="External"/><Relationship Id="rId33" Type="http://schemas.openxmlformats.org/officeDocument/2006/relationships/hyperlink" Target="https://developer.android.com/develop/ui/compose/system/icon_design_adaptive" TargetMode="External"/><Relationship Id="rId34" Type="http://schemas.openxmlformats.org/officeDocument/2006/relationships/hyperlink" Target="https://www.sqlite.org/lang_vacuum.html" TargetMode="External"/><Relationship Id="rId35" Type="http://schemas.openxmlformats.org/officeDocument/2006/relationships/hyperlink" Target="https://github.com/Cesarcfw/tcc-maquete-app/blob/34b55fe/docs/autenticacao-persistencia-local.md" TargetMode="External"/><Relationship Id="rId36" Type="http://schemas.openxmlformats.org/officeDocument/2006/relationships/hyperlink" Target="https://github.com/Cesarcfw/tcc-maquete-app/blob/34b55fe/integration/node-red/simulator.cjs" TargetMode="External"/><Relationship Id="rId37" Type="http://schemas.openxmlformats.org/officeDocument/2006/relationships/hyperlink" Target="https://github.com/Cesarcfw/tcc-maquete-app/blob/34b55fe/docs/modos-dia-noite.md" TargetMode="External"/><Relationship Id="rId38" Type="http://schemas.openxmlformats.org/officeDocument/2006/relationships/hyperlink" Target="https://github.com/Cesarcfw/tcc-maquete-app/blob/34b55fe/docs/historico-alertas.md" TargetMode="External"/><Relationship Id="rId39" Type="http://schemas.openxmlformats.org/officeDocument/2006/relationships/hyperlink" Target="https://github.com/Cesarcfw/tcc-maquete-app/blob/34b55fe/docs/preferencias-locais.md" TargetMode="External"/><Relationship Id="rId40" Type="http://schemas.openxmlformats.org/officeDocument/2006/relationships/hyperlink" Target="https://github.com/Cesarcfw/tcc-maquete-app/blob/34b55fe/docs/identidade-visual/README.md" TargetMode="External"/><Relationship Id="rId41" Type="http://schemas.openxmlformats.org/officeDocument/2006/relationships/hyperlink" Target="https://github.com/Cesarcfw/tcc-maquete-app/blob/34b55fe/package.json" TargetMode="External"/><Relationship Id="rId42" Type="http://schemas.openxmlformats.org/officeDocument/2006/relationships/hyperlink" Target="https://github.com/Cesarcfw/tcc-maquete-app/blob/34b55fe/docs/apk-v0.6.0.md" TargetMode="External"/><Relationship Id="rId43" Type="http://schemas.openxmlformats.org/officeDocument/2006/relationships/hyperlink" Target="https://trello.com/b/GiwurIG1/tcc-monografia-aplicativo-e-maquete" TargetMode="External"/><Relationship Id="rId44" Type="http://schemas.openxmlformats.org/officeDocument/2006/relationships/hyperlink" Target="https://app.notion.com/p/3fac1303cee081bc94c1cfc770b07f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SAMAHI para atualização da monografia</dc:title>
  <dc:subject>Estágio do aplicativo e integração virtual até a versão 0.6.0</dc:subject>
  <dc:creator>Equipe SAMAHI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