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rPr>
        <w:t>I. ANTECEDENTES</w:t>
      </w:r>
    </w:p>
    <w:p>
      <w:r>
        <w:t xml:space="preserve">I. ANTECEDENTES  </w:t>
        <w:br/>
        <w:br/>
        <w:t xml:space="preserve">1. La Empresa Social del Estado (ESE) Hospital San Bernardo de Filadelfia (Caldas), en su calidad de entidad certificadora, expidió el 10 de febrero de 2023 la certificación electrónica de tiempos laborados número 202302890802223000910009, correspondiente a la señora Flor Alba Patiño Martínez. En dicho documento se indicó que: i) la señora Patiño Martínez estuvo vinculada como auxiliar administrativa a esa institución desde el 6 de marzo de 1992 hasta el 28 de febrero de 1995; ii) durante dicho período no se realizaron descuentos por concepto de seguridad social (pensiones, salud y riesgos); y iii) la entidad responsable por ese lapso es el Patrimonio Autónomo de la Dirección Territorial de Salud de Caldas.  </w:t>
        <w:br/>
        <w:br/>
        <w:t xml:space="preserve">2. La sociedad administradora de fondos de pensiones Porvenir S.A. solicitó al Patrimonio Autónomo de la Dirección Territorial de Salud de Caldas el reconocimiento y pago del bono pensional a favor de la señora Flor Alba Patiño Martínez, correspondiente al período laboral mencionado.  </w:t>
        <w:br/>
        <w:br/>
        <w:t xml:space="preserve">3. El 14 de diciembre de 2023, el Patrimonio Autónomo de la Dirección Territorial de Salud de Caldas objetó la solicitud de reconocimiento y pago del bono pensional, argumentando que los períodos reclamados no correspondían a la vigencia del Patrimonio Autónomo de Caldas, conforme a lo establecido en la circular 009 de octubre de 2018. En consecuencia, señaló que dicha entidad únicamente sería responsable por los tiempos comprendidos entre el 1 de septiembre de 1979 y el 31 de diciembre de 1993.  </w:t>
        <w:br/>
        <w:br/>
        <w:t xml:space="preserve">4. El 22 de abril de 2024, la señora Flor Alba Patiño Martínez, a través de apoderado, interpuso acción de tutela contra la ESE Hospital San Bernardo de Filadelfia (Caldas), con el propósito de que se tutelara su derecho fundamental de petición. En dicha acción, solicitó que se ordenara a la mencionada entidad hospitalaria brindar una respuesta clara y de fondo al derecho de petición presentado el 6 de marzo de 2024, en el cual requería la corrección de la certificación laboral (CETIL) y la realización de las gestiones necesarias ante Porvenir S.A. para solucionar los errores en el bono pensional.  </w:t>
        <w:br/>
        <w:br/>
        <w:t xml:space="preserve">5. La acción de tutela fue asignada por reparto al Juzgado Promiscuo Municipal de Filadelfia (Caldas), bajo el número de radicación 17272408900120240003800.  </w:t>
        <w:br/>
        <w:br/>
        <w:t>6. En el marco del presente conflicto administrativo, se discute la competencia para el reconocimiento y pago del bono pensional de la señora Flor Alba Patiño Martínez, específicamente en relación con los períodos laborados en la ESE Hospital San Bernardo de Filadelfia (Caldas) entre el 6 de marzo de 1992 y el 28 de febrero de 1995.</w:t>
      </w:r>
    </w:p>
    <w:p/>
    <w:p>
      <w:r>
        <w:rPr>
          <w:b/>
        </w:rPr>
        <w:t>II. CONSIDERACIONES</w:t>
      </w:r>
    </w:p>
    <w:p>
      <w:r>
        <w:t>**II. CONSIDERACIONES**</w:t>
        <w:br/>
        <w:br/>
        <w:t>En atención a los antecedentes expuestos y a los argumentos presentados por las partes e intervinientes, esta Sala procede a analizar el conflicto negativo de competencias administrativas planteado, con el propósito de determinar la autoridad competente para resolver de fondo la solicitud de reconocimiento y pago del bono pensional en los casos objeto de estudio.</w:t>
        <w:br/>
        <w:br/>
        <w:t xml:space="preserve">1. **Marco normativo aplicable**  </w:t>
        <w:br/>
        <w:t>La resolución del presente conflicto debe fundamentarse en las disposiciones legales que regulan el pasivo pensional del sector salud, particularmente en lo establecido por la Ley 60 de 1993, el Decreto 530 de 1994, la Ley 715 de 2001 y el Decreto 586 de 2017. Dichas normas establecen los parámetros para la financiación del pasivo pensional causado hasta el 31 de diciembre de 1993, así como las obligaciones de las entidades empleadoras respecto de los periodos posteriores a dicha fecha.</w:t>
        <w:br/>
        <w:br/>
        <w:t>En este sentido, la Ley 60 de 1993 creó el Fondo del Pasivo Prestacional del Sector Salud, con el objetivo de que la Nación y las entidades territoriales colaboraran en la financiación de las cesantías y pensiones causadas hasta el 31 de diciembre de 1993. Posteriormente, la Ley 715 de 2001 suprimió dicho fondo y trasladó la responsabilidad financiera a la Nación, a través del Ministerio de Hacienda y Crédito Público, sin que ello implicara la exoneración de las obligaciones de las entidades empleadoras respecto de los periodos posteriores.</w:t>
        <w:br/>
        <w:br/>
        <w:t xml:space="preserve">2. **Responsabilidad de las entidades empleadoras**  </w:t>
        <w:br/>
        <w:t>De acuerdo con los pronunciamientos reiterados de la Sala de Consulta y Servicio Civil del Consejo de Estado, las Empresas Sociales del Estado (ESE) no son responsables de concurrir al pago del pasivo pensional causado hasta el 31 de diciembre de 1993, dado que no tenían vida jurídica en esa época. En consecuencia, la financiación de dicho pasivo corresponde a las entidades territoriales y/o al Gobierno Nacional, según lo dispuesto en la normativa aplicable.</w:t>
        <w:br/>
        <w:br/>
        <w:t>Sin embargo, para los periodos posteriores al 31 de diciembre de 1993, las ESE, en calidad de empleadoras, son responsables de cumplir con las obligaciones pensionales de sus trabajadores, hasta tanto se celebren los respectivos contratos de concurrencia y cruces de cuentas con el Ministerio de Hacienda y Crédito Público. Este criterio ha sido sostenido en múltiples decisiones, incluyendo las relacionadas con los conflictos administrativos de competencias en casos similares.</w:t>
        <w:br/>
        <w:br/>
        <w:t xml:space="preserve">3. **Análisis de los casos concretos**  </w:t>
        <w:br/>
        <w:t>En el caso de la señora Luz Marina Rincón Monroy, se observa que el tiempo laborado en la ESE Hospital El Salvador de Ubaté corresponde a un periodo posterior al 31 de diciembre de 1993. Por tanto, conforme a la normativa vigente y los pronunciamientos de la Sala de Consulta y Servicio Civil, la responsabilidad de reconocer y pagar el bono pensional solicitado recae sobre la ESE Hospital El Salvador de Ubaté, en calidad de entidad empleadora. No obstante, dicha entidad podrá gestionar el reembolso de los pagos realizados mediante los mecanismos previstos en el Decreto 586 de 2017, una vez se suscriba el contrato de concurrencia correspondiente.</w:t>
        <w:br/>
        <w:br/>
        <w:t>En el caso de la señora Flor Alba Patiño Martínez, se advierte que el periodo reclamado incluye tiempos laborados tanto antes como después del 31 de diciembre de 1993. En virtud de lo anterior, el pasivo pensional causado hasta dicha fecha debe ser financiado por el Patrimonio Autónomo de la Dirección Territorial de Salud de Caldas, en calidad de administrador de los recursos del extinto Fondo del Pasivo Prestacional del Sector Salud. Por su parte, los periodos posteriores son responsabilidad de la ESE Hospital San Bernardo de Filadelfia, en calidad de empleadora, conforme a lo dispuesto en la normativa aplicable.</w:t>
        <w:br/>
        <w:br/>
        <w:t xml:space="preserve">4. **Conflictos de competencias administrativas**  </w:t>
        <w:br/>
        <w:t>En los casos analizados, los conflictos de competencias administrativas surgen de la interpretación y aplicación de las normas que regulan el pasivo pensional del sector salud, así como de la falta de claridad en la delimitación de las responsabilidades entre las entidades involucradas. En este contexto, resulta fundamental reiterar que las ESE son responsables de los periodos posteriores al 31 de diciembre de 1993, mientras que los pasivos causados hasta dicha fecha deben ser asumidos por las entidades territoriales y/o el Gobierno Nacional, según corresponda.</w:t>
        <w:br/>
        <w:br/>
        <w:t>Por lo tanto, esta Sala concluye que la resolución de los conflictos planteados debe ajustarse estrictamente a los parámetros normativos y jurisprudenciales expuestos, garantizando el cumplimiento de las obligaciones pensionales en favor de los trabajadores del sector salud, sin perjuicio de los mecanismos de concurrencia y reembolso previstos en la ley.</w:t>
      </w:r>
    </w:p>
    <w:p/>
    <w:p>
      <w:r>
        <w:rPr>
          <w:b/>
        </w:rPr>
        <w:t>III. PROBLEMA JURÍDICO</w:t>
      </w:r>
    </w:p>
    <w:p>
      <w:r>
        <w:t>**III. PROBLEMA JURÍDICO**</w:t>
        <w:br/>
        <w:br/>
        <w:t xml:space="preserve">El problema jurídico a resolver en el presente caso consiste en determinar cuál es la autoridad administrativa competente para asumir el reconocimiento y pago del bono pensional solicitado por la señora Luz Marina Rincón Monroy, derivado del tiempo laborado en la E.S.E. Hospital El Salvador de Ubaté, considerando las disposiciones normativas aplicables, los pronunciamientos jurisprudenciales y las posiciones asumidas por las entidades involucradas, en particular, la E.S.E. Hospital El Salvador de Ubaté, el Departamento de Cundinamarca, la Unidad Administrativa Especial de Pensiones de Cundinamarca y el Ministerio de Hacienda y Crédito Público. </w:t>
        <w:br/>
        <w:br/>
        <w:t>En este contexto, se debe analizar si la responsabilidad recae sobre la entidad empleadora, en su calidad de E.S.E., o si corresponde al Departamento de Cundinamarca y/o al Gobierno Nacional, teniendo en cuenta la naturaleza jurídica de las E.S.E., la existencia de contratos de concurrencia y las obligaciones derivadas del pasivo prestacional del sector salud causado hasta el 31 de diciembre de 1993.</w:t>
      </w:r>
    </w:p>
    <w:p/>
    <w:p>
      <w:r>
        <w:rPr>
          <w:b/>
        </w:rPr>
        <w:t>IV. DECISIÓN</w:t>
      </w:r>
    </w:p>
    <w:p>
      <w:r>
        <w:t>**IV. DECISIÓN**</w:t>
        <w:br/>
        <w:br/>
        <w:t>Con fundamento en los antecedentes expuestos y en la normativa aplicable, esta Sala procede a resolver el conflicto negativo de competencias administrativas planteado, en relación con la solicitud de reconocimiento y pago del bono pensional de la señora Luz Marina Rincón Monroy, por el tiempo laborado en la E.S.E. Hospital El Salvador de Ubaté.</w:t>
        <w:br/>
        <w:br/>
        <w:t>En primer lugar, se reitera que, conforme a la jurisprudencia de la Sala de Consulta y Servicio Civil del Consejo de Estado, las Empresas Sociales del Estado (ESE) no son responsables de concurrir al pago del pasivo prestacional del sector salud causado hasta el 31 de diciembre de 1993, dado que no tenían vida jurídica en esa época y, por ende, no realizaron los descuentos correspondientes ni administraron los recursos destinados a tales prestaciones. En consecuencia, la responsabilidad por dicho pasivo recae en los Departamentos y/o la Nación, quienes eran los encargados de su administración y financiación en ese periodo.</w:t>
        <w:br/>
        <w:br/>
        <w:t>En el caso concreto, se evidencia que la señora Luz Marina Rincón Monroy no se encuentra registrada en los formularios del Cálculo Actuarial Ministerio de Salud (CAMISA) enviados por la E.S.E. Hospital El Salvador de Ubaté al Ministerio de Hacienda y Crédito Público, lo que imposibilita la financiación del pasivo pensional en calidad de concurrencia para la presente vigencia. No obstante, el Ministerio de Hacienda ha señalado que la E.S.E. debe diligenciar la información correspondiente y reportar los pagos realizados por concepto de expedición del bono, los cuales serán reembolsados una vez se suscriba el respectivo contrato de concurrencia.</w:t>
        <w:br/>
        <w:br/>
        <w:t>Por otra parte, la Secretaría de Salud del Departamento de Cundinamarca ha manifestado que la señora Luz Marina Rincón Monroy no es beneficiaria de los recursos del extinto Fondo del Pasivo Prestacional del Sector Salud, y ha atribuido la responsabilidad del pasivo prestacional al Hospital El Salvador de Ubaté, en calidad de entidad empleadora.</w:t>
        <w:br/>
        <w:br/>
        <w:t>En virtud de lo anterior, y teniendo en cuenta que el pasivo prestacional por el tiempo laborado en la E.S.E. Hospital El Salvador de Ubaté corresponde a periodos posteriores al 31 de diciembre de 1993, esta Sala concluye que la responsabilidad de reconocer y pagar el bono pensional solicitado por la señora Luz Marina Rincón Monroy recae en la E.S.E. Hospital El Salvador de Ubaté, en calidad de empleadora, conforme a lo dispuesto en el Decreto 586 de 2017 y la normativa aplicable. No obstante, dicha entidad podrá gestionar el reembolso de los pagos realizados ante el Ministerio de Hacienda y Crédito Público, una vez se cumplan los requisitos establecidos para la suscripción del contrato de concurrencia.</w:t>
        <w:br/>
        <w:br/>
        <w:t xml:space="preserve">En consecuencia, se declara que la autoridad administrativa competente para resolver de fondo la solicitud de reconocimiento y pago del bono pensional de la señora Luz Marina Rincón Monroy es la E.S.E. Hospital El Salvador de Ubaté. </w:t>
        <w:br/>
        <w:br/>
        <w:t>Notifíquese y cúmplase.</w:t>
      </w:r>
    </w:p>
    <w:p/>
    <w:sectPr w:rsidRPr="0098532D" w:rsidR="00CA23D4" w:rsidSect="00212166">
      <w:headerReference w:type="default" r:id="rId8"/>
      <w:footerReference w:type="even" r:id="rId9"/>
      <w:footerReference w:type="default" r:id="rId10"/>
      <w:headerReference w:type="first" r:id="rId11"/>
      <w:pgSz w:w="12240" w:h="15840" w:orient="portrait" w:code="1"/>
      <w:pgMar w:top="1985" w:right="1474" w:bottom="1304" w:left="1474" w:header="0" w:footer="141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F47" w:rsidP="007F6989" w:rsidRDefault="00A22F47" w14:paraId="48B694D7" w14:textId="77777777">
      <w:pPr>
        <w:spacing w:after="0" w:line="240" w:lineRule="auto"/>
      </w:pPr>
      <w:r>
        <w:separator/>
      </w:r>
    </w:p>
  </w:endnote>
  <w:endnote w:type="continuationSeparator" w:id="0">
    <w:p w:rsidR="00A22F47" w:rsidP="007F6989" w:rsidRDefault="00A22F47" w14:paraId="7AE528E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4C21CB1A" w14:textId="77777777">
    <w:pPr>
      <w:pStyle w:val="Piedepgina"/>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338AE" w:rsidP="003541FE" w:rsidRDefault="001338AE" w14:paraId="4779955D" w14:textId="77777777">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78A2FF83" w14:textId="77777777">
    <w:pPr>
      <w:pStyle w:val="Piedep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F47" w:rsidP="007F6989" w:rsidRDefault="00A22F47" w14:paraId="6CABD002" w14:textId="77777777">
      <w:pPr>
        <w:spacing w:after="0" w:line="240" w:lineRule="auto"/>
      </w:pPr>
      <w:r>
        <w:separator/>
      </w:r>
    </w:p>
  </w:footnote>
  <w:footnote w:type="continuationSeparator" w:id="0">
    <w:p w:rsidR="00A22F47" w:rsidP="007F6989" w:rsidRDefault="00A22F47" w14:paraId="415F23D4" w14:textId="77777777">
      <w:pPr>
        <w:spacing w:after="0" w:line="240" w:lineRule="auto"/>
      </w:pPr>
      <w:r>
        <w:continuationSeparator/>
      </w:r>
    </w:p>
  </w:footnote>
  <w:footnote w:id="1">
    <w:p w:rsidRPr="00922C38" w:rsidR="0098532D" w:rsidP="0098532D" w:rsidRDefault="0098532D" w14:paraId="4530A817"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Ley 2080 de 2021</w:t>
      </w:r>
      <w:r w:rsidRPr="00922C38">
        <w:rPr>
          <w:rFonts w:ascii="Arial" w:hAnsi="Arial" w:cs="Arial"/>
          <w:lang w:val="es-MX"/>
        </w:rPr>
        <w:t xml:space="preserve"> (enero 25), </w:t>
      </w:r>
      <w:r w:rsidRPr="00922C38">
        <w:rPr>
          <w:rFonts w:ascii="Arial" w:hAnsi="Arial" w:cs="Arial"/>
        </w:rPr>
        <w:t>«Por medio de la cual se reforma el Código de Procedimiento Administrativo y de lo Contencioso Administrativo -Ley 1437 de 2011- y se dictan otras disposiciones en materia de descongestión en los procesos que se tramitan ante la Jurisdicción».</w:t>
      </w:r>
    </w:p>
  </w:footnote>
  <w:footnote w:id="2">
    <w:p w:rsidRPr="00922C38" w:rsidR="0098532D" w:rsidP="0098532D" w:rsidRDefault="0098532D" w14:paraId="76AD61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7</w:t>
      </w:r>
      <w:r w:rsidRPr="00922C38">
        <w:rPr>
          <w:rFonts w:ascii="Arial" w:hAnsi="Arial" w:cs="Arial"/>
        </w:rPr>
        <w:t xml:space="preserve">, folio </w:t>
      </w:r>
      <w:r w:rsidRPr="00922C38">
        <w:rPr>
          <w:rFonts w:ascii="Arial" w:hAnsi="Arial" w:cs="Arial"/>
          <w:lang w:val="es-CO"/>
        </w:rPr>
        <w:t>32.</w:t>
      </w:r>
    </w:p>
  </w:footnote>
  <w:footnote w:id="3">
    <w:p w:rsidRPr="00922C38" w:rsidR="0098532D" w:rsidP="0098532D" w:rsidRDefault="0098532D" w14:paraId="7477FD55" w14:textId="77777777">
      <w:pPr>
        <w:pStyle w:val="Textonotapie"/>
        <w:jc w:val="both"/>
      </w:pPr>
      <w:r w:rsidRPr="00922C38">
        <w:rPr>
          <w:rStyle w:val="Refdenotaalpie"/>
          <w:rFonts w:ascii="Arial" w:hAnsi="Arial" w:cs="Arial"/>
        </w:rPr>
        <w:footnoteRef/>
      </w:r>
      <w:r w:rsidRPr="00922C38">
        <w:rPr>
          <w:rFonts w:ascii="Arial" w:hAnsi="Arial" w:cs="Arial"/>
        </w:rPr>
        <w:t xml:space="preserve"> El sistema de Certificación Electrónica de Tiempos Laborados</w:t>
      </w:r>
      <w:r w:rsidRPr="00922C38">
        <w:rPr>
          <w:rFonts w:ascii="Arial" w:hAnsi="Arial" w:cs="Arial"/>
          <w:lang w:val="es-CO"/>
        </w:rPr>
        <w:t xml:space="preserve"> - CETIL</w:t>
      </w:r>
      <w:r w:rsidRPr="00922C38">
        <w:rPr>
          <w:rFonts w:ascii="Arial" w:hAnsi="Arial" w:cs="Arial"/>
        </w:rPr>
        <w:t>, es el mecanismo a través del cual se expid</w:t>
      </w:r>
      <w:r w:rsidRPr="00922C38">
        <w:rPr>
          <w:rFonts w:ascii="Arial" w:hAnsi="Arial" w:cs="Arial"/>
          <w:lang w:val="es-CO"/>
        </w:rPr>
        <w:t>e</w:t>
      </w:r>
      <w:r w:rsidRPr="00922C38">
        <w:rPr>
          <w:rFonts w:ascii="Arial" w:hAnsi="Arial" w:cs="Arial"/>
        </w:rPr>
        <w:t xml:space="preserve"> todas las certificaciones de tiempos laborados y salarios por parte de las </w:t>
      </w:r>
      <w:r w:rsidRPr="00922C38">
        <w:rPr>
          <w:rFonts w:ascii="Arial" w:hAnsi="Arial" w:cs="Arial"/>
          <w:lang w:val="es-MX"/>
        </w:rPr>
        <w:t>instituciones</w:t>
      </w:r>
      <w:r w:rsidRPr="00922C38">
        <w:rPr>
          <w:rFonts w:ascii="Arial" w:hAnsi="Arial" w:cs="Arial"/>
        </w:rPr>
        <w:t xml:space="preserve"> públicas y privadas que ejerzan funciones públicas o cualquier otra entidad que deba expedir certificaciones de tiempos laborados o cotizados y salarios con el fin de ser aportadas </w:t>
      </w:r>
      <w:r w:rsidRPr="00922C38">
        <w:rPr>
          <w:rFonts w:ascii="Arial" w:hAnsi="Arial" w:cs="Arial"/>
          <w:lang w:val="es-MX"/>
        </w:rPr>
        <w:t>para reconocimiento de</w:t>
      </w:r>
      <w:r w:rsidRPr="00922C38">
        <w:rPr>
          <w:rFonts w:ascii="Arial" w:hAnsi="Arial" w:cs="Arial"/>
        </w:rPr>
        <w:t xml:space="preserve"> prestaciones pensionales a través del diligenciamiento de un formulario único electrónico.</w:t>
      </w:r>
    </w:p>
  </w:footnote>
  <w:footnote w:id="4">
    <w:p w:rsidRPr="00922C38" w:rsidR="0098532D" w:rsidP="0098532D" w:rsidRDefault="0098532D" w14:paraId="3A3E8B1C" w14:textId="77777777">
      <w:pPr>
        <w:pStyle w:val="Textonotapie"/>
        <w:jc w:val="both"/>
        <w:rPr>
          <w:rFonts w:ascii="Arial" w:hAnsi="Arial" w:cs="Arial"/>
        </w:rPr>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CETIL</w:t>
      </w:r>
      <w:r w:rsidRPr="00922C38">
        <w:rPr>
          <w:rFonts w:ascii="Arial" w:hAnsi="Arial" w:cs="Arial"/>
        </w:rPr>
        <w:t xml:space="preserve"> </w:t>
      </w:r>
      <w:r w:rsidRPr="00922C38">
        <w:rPr>
          <w:rFonts w:ascii="Arial" w:hAnsi="Arial" w:cs="Arial"/>
          <w:lang w:val="es-CO"/>
        </w:rPr>
        <w:t xml:space="preserve">del 14 de abril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4</w:t>
      </w:r>
      <w:r w:rsidRPr="00922C38">
        <w:rPr>
          <w:rFonts w:ascii="Arial" w:hAnsi="Arial" w:cs="Arial"/>
        </w:rPr>
        <w:t>, folio</w:t>
      </w:r>
      <w:r w:rsidRPr="00922C38">
        <w:rPr>
          <w:rFonts w:ascii="Arial" w:hAnsi="Arial" w:cs="Arial"/>
          <w:lang w:val="es-CO"/>
        </w:rPr>
        <w:t>s 1 al 20</w:t>
      </w:r>
      <w:r w:rsidRPr="00922C38">
        <w:rPr>
          <w:rFonts w:ascii="Arial" w:hAnsi="Arial" w:cs="Arial"/>
        </w:rPr>
        <w:t>).</w:t>
      </w:r>
    </w:p>
  </w:footnote>
  <w:footnote w:id="5">
    <w:p w:rsidRPr="00922C38" w:rsidR="0098532D" w:rsidP="0098532D" w:rsidRDefault="0098532D" w14:paraId="0C6B73F0" w14:textId="77777777">
      <w:pPr>
        <w:pStyle w:val="Textonotapie"/>
        <w:jc w:val="both"/>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emitida por Colpensiones</w:t>
      </w:r>
      <w:r w:rsidRPr="00922C38">
        <w:rPr>
          <w:rFonts w:ascii="Arial" w:hAnsi="Arial" w:cs="Arial"/>
        </w:rPr>
        <w:t xml:space="preserve"> </w:t>
      </w:r>
      <w:r w:rsidRPr="00922C38">
        <w:rPr>
          <w:rFonts w:ascii="Arial" w:hAnsi="Arial" w:cs="Arial"/>
          <w:lang w:val="es-CO"/>
        </w:rPr>
        <w:t xml:space="preserve">del 26 de octubre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6</w:t>
      </w:r>
      <w:r w:rsidRPr="00922C38">
        <w:rPr>
          <w:rFonts w:ascii="Arial" w:hAnsi="Arial" w:cs="Arial"/>
        </w:rPr>
        <w:t>, folio</w:t>
      </w:r>
      <w:r w:rsidRPr="00922C38">
        <w:rPr>
          <w:rFonts w:ascii="Arial" w:hAnsi="Arial" w:cs="Arial"/>
          <w:lang w:val="es-CO"/>
        </w:rPr>
        <w:t>s 7 y 8</w:t>
      </w:r>
      <w:r w:rsidRPr="00922C38">
        <w:rPr>
          <w:rFonts w:ascii="Arial" w:hAnsi="Arial" w:cs="Arial"/>
        </w:rPr>
        <w:t>).</w:t>
      </w:r>
    </w:p>
  </w:footnote>
  <w:footnote w:id="6">
    <w:p w:rsidRPr="00922C38" w:rsidR="0098532D" w:rsidP="0098532D" w:rsidRDefault="0098532D" w14:paraId="114B6B9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Archivo digital SAMAI, documento 6, folio</w:t>
      </w:r>
      <w:r w:rsidRPr="00922C38">
        <w:rPr>
          <w:rFonts w:ascii="Arial" w:hAnsi="Arial" w:cs="Arial"/>
          <w:lang w:val="es-CO"/>
        </w:rPr>
        <w:t>s 13 al 16</w:t>
      </w:r>
      <w:r w:rsidRPr="00922C38">
        <w:rPr>
          <w:rFonts w:cs="Arial"/>
          <w:lang w:val="es-CO"/>
        </w:rPr>
        <w:t xml:space="preserve"> </w:t>
      </w:r>
    </w:p>
  </w:footnote>
  <w:footnote w:id="7">
    <w:p w:rsidRPr="00922C38" w:rsidR="0098532D" w:rsidP="0098532D" w:rsidRDefault="0098532D" w14:paraId="156B82E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Archivo digital SAMAI documento1.</w:t>
      </w:r>
    </w:p>
  </w:footnote>
  <w:footnote w:id="8">
    <w:p w:rsidRPr="00922C38" w:rsidR="0098532D" w:rsidP="0098532D" w:rsidRDefault="0098532D" w14:paraId="5889CC35"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Archivo digital SAMAI, documento 11.</w:t>
      </w:r>
    </w:p>
  </w:footnote>
  <w:footnote w:id="9">
    <w:p w:rsidRPr="00922C38" w:rsidR="0098532D" w:rsidP="0098532D" w:rsidRDefault="0098532D" w14:paraId="396BE37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7.</w:t>
      </w:r>
    </w:p>
  </w:footnote>
  <w:footnote w:id="10">
    <w:p w:rsidRPr="00922C38" w:rsidR="0098532D" w:rsidP="0098532D" w:rsidRDefault="0098532D" w14:paraId="7B035B9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1</w:t>
      </w:r>
      <w:r w:rsidRPr="00922C38">
        <w:rPr>
          <w:rFonts w:ascii="Arial" w:hAnsi="Arial" w:cs="Arial"/>
        </w:rPr>
        <w:t>4</w:t>
      </w:r>
      <w:r w:rsidRPr="00922C38">
        <w:rPr>
          <w:rFonts w:ascii="Arial" w:hAnsi="Arial" w:cs="Arial"/>
          <w:lang w:val="es-CO"/>
        </w:rPr>
        <w:t>.</w:t>
      </w:r>
    </w:p>
  </w:footnote>
  <w:footnote w:id="11">
    <w:p w:rsidRPr="00922C38" w:rsidR="0098532D" w:rsidP="0098532D" w:rsidRDefault="0098532D" w14:paraId="4ADDDBF7"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De ahora en adelante UGPP.</w:t>
      </w:r>
    </w:p>
  </w:footnote>
  <w:footnote w:id="12">
    <w:p w:rsidRPr="00922C38" w:rsidR="0098532D" w:rsidP="0098532D" w:rsidRDefault="0098532D" w14:paraId="3C4C756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bCs/>
        </w:rPr>
        <w:t>A</w:t>
      </w:r>
      <w:r w:rsidRPr="00922C38">
        <w:rPr>
          <w:rFonts w:ascii="Arial" w:hAnsi="Arial" w:cs="Arial"/>
        </w:rPr>
        <w:t>rtículo 34. Procedimiento administrativo común y principal. Las actuaciones administrativas se sujetarán al procedimiento administrativo común y principal que se establece en este Código, sin perjuicio de los procedimientos administrativos regulados por leyes especiales. En lo no previsto en dichas leyes se aplicarán las disposiciones de esta Parte Primera del Código.</w:t>
      </w:r>
      <w:r w:rsidRPr="00922C38">
        <w:rPr>
          <w:lang w:val="es-CO"/>
        </w:rPr>
        <w:t xml:space="preserve"> </w:t>
      </w:r>
    </w:p>
  </w:footnote>
  <w:footnote w:id="13">
    <w:p w:rsidRPr="00922C38" w:rsidR="0098532D" w:rsidP="0098532D" w:rsidRDefault="0098532D" w14:paraId="5C411F73" w14:textId="77777777">
      <w:pPr>
        <w:pStyle w:val="Textonotapie"/>
        <w:mirrorIndents/>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La remisión al artículo 14 del CPACA debe entenderse hecha al artículo 1</w:t>
      </w:r>
      <w:r w:rsidRPr="00922C38">
        <w:rPr>
          <w:rFonts w:ascii="Arial" w:hAnsi="Arial" w:cs="Arial"/>
          <w:lang w:val="es-CO"/>
        </w:rPr>
        <w:t>º</w:t>
      </w:r>
      <w:r w:rsidRPr="00922C38">
        <w:rPr>
          <w:rFonts w:ascii="Arial" w:hAnsi="Arial" w:cs="Arial"/>
        </w:rPr>
        <w:t xml:space="preserve"> de la Ley Estatutaria 1755 de 2015. </w:t>
      </w:r>
    </w:p>
  </w:footnote>
  <w:footnote w:id="14">
    <w:p w:rsidRPr="00922C38" w:rsidR="0098532D" w:rsidP="0098532D" w:rsidRDefault="0098532D" w14:paraId="4960649B"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Entre otras decisiones de la Sala: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-00</w:t>
      </w:r>
      <w:r w:rsidRPr="00922C38">
        <w:rPr>
          <w:rFonts w:ascii="Arial" w:hAnsi="Arial" w:cs="Arial"/>
          <w:lang w:val="es-CO"/>
        </w:rPr>
        <w:t xml:space="preserve">, del </w:t>
      </w:r>
      <w:r w:rsidRPr="00922C38">
        <w:rPr>
          <w:rFonts w:ascii="Arial" w:hAnsi="Arial" w:cs="Arial"/>
        </w:rPr>
        <w:t>5 de marzo de 2019, Rad. núm. 11001-03-06-000-2018-00246-00</w:t>
      </w:r>
      <w:r w:rsidRPr="00026EBA">
        <w:rPr>
          <w:rFonts w:ascii="Arial" w:hAnsi="Arial" w:cs="Arial"/>
          <w:highlight w:val="magenta"/>
        </w:rPr>
        <w:t>;</w:t>
      </w:r>
      <w:r>
        <w:rPr>
          <w:rFonts w:ascii="Arial" w:hAnsi="Arial" w:cs="Arial"/>
          <w:lang w:val="es-ES"/>
        </w:rPr>
        <w:t xml:space="preserve"> </w:t>
      </w:r>
      <w:r w:rsidRPr="00922C38">
        <w:rPr>
          <w:rFonts w:ascii="Arial" w:hAnsi="Arial" w:cs="Arial"/>
          <w:lang w:val="es-CO"/>
        </w:rPr>
        <w:t>entre otras</w:t>
      </w:r>
      <w:r w:rsidRPr="00922C38">
        <w:rPr>
          <w:rFonts w:ascii="Arial" w:hAnsi="Arial" w:cs="Arial"/>
        </w:rPr>
        <w:t>.</w:t>
      </w:r>
    </w:p>
  </w:footnote>
  <w:footnote w:id="15">
    <w:p w:rsidRPr="00922C38" w:rsidR="0098532D" w:rsidP="0098532D" w:rsidRDefault="0098532D" w14:paraId="12006262"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100 de 1993 (diciembre 23) «Por la cual se crea el sistema de seguridad social integral y se dictan otras disposiciones». </w:t>
      </w:r>
    </w:p>
  </w:footnote>
  <w:footnote w:id="16">
    <w:p w:rsidRPr="00922C38" w:rsidR="0098532D" w:rsidP="0098532D" w:rsidRDefault="0098532D" w14:paraId="33CAF570"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100/93, artículo 11 (texto original): «El Sistema General de Pensiones, con las excepciones previstas en el artículo 279 de la presente ley, se aplicará a todos los habitantes del territorio nacional, conservando adicionalmente todos los derechos, garantías, prerrogativas, servicios y beneficios adquiridos y establecidos conforme a disposiciones normativas anteriores para quienes a la fecha de vigencia de esta ley hayan cumplido los requisitos para acceder a una pensión o se encuentren pensionados por jubilación, vejez, invalidez, sustitución o sobrevivientes de los sectores público, oficial, semioficial, en todos sus órdenes, del Instituto de Seguros Sociales y del sector privado en general. / Para efectos de este artículo se respetarán y por tanto mantendrán su vigencia los derechos adquiridos conforme a disposiciones normativas anteriores, pacto o convención colectiva de trabajo./Lo anterior será sin perjuicio del derecho de denuncia que le asiste a las partes y de que el tribunal de arbitramento dirima las diferencias entre las partes»</w:t>
      </w:r>
      <w:r w:rsidRPr="00922C38">
        <w:rPr>
          <w:rFonts w:ascii="Arial" w:hAnsi="Arial" w:cs="Arial"/>
          <w:lang w:val="es-CO"/>
        </w:rPr>
        <w:t>.</w:t>
      </w:r>
    </w:p>
  </w:footnote>
  <w:footnote w:id="17">
    <w:p w:rsidRPr="00922C38" w:rsidR="0098532D" w:rsidP="0098532D" w:rsidRDefault="0098532D" w14:paraId="0C368722"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 artículo 12: «REGÍMENES DEL SISTEMA GENERAL DE PENSIONES. El Sistema General de Pensiones está compuesto por dos regímenes solidarios excluyentes pero que coexisten, a saber: a. Régimen Solidario de Prima Media con Prestación Definida. / b. Régimen de Ahorro Individual con Solidaridad»</w:t>
      </w:r>
      <w:r w:rsidRPr="00922C38">
        <w:rPr>
          <w:rFonts w:ascii="Arial" w:hAnsi="Arial" w:cs="Arial"/>
          <w:lang w:val="es-CO"/>
        </w:rPr>
        <w:t>.</w:t>
      </w:r>
    </w:p>
  </w:footnote>
  <w:footnote w:id="18">
    <w:p w:rsidRPr="00922C38" w:rsidR="0098532D" w:rsidP="0098532D" w:rsidRDefault="0098532D" w14:paraId="22EAD4BB"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w:t>
      </w:r>
      <w:r w:rsidRPr="00922C38">
        <w:rPr>
          <w:rFonts w:ascii="Arial" w:hAnsi="Arial" w:cs="Arial"/>
          <w:lang w:val="es-CO"/>
        </w:rPr>
        <w:t>, del</w:t>
      </w:r>
      <w:r w:rsidRPr="00922C38">
        <w:rPr>
          <w:rFonts w:ascii="Arial" w:hAnsi="Arial" w:cs="Arial"/>
        </w:rPr>
        <w:t>15 de diciembre de 2016, Rad. núm</w:t>
      </w:r>
      <w:r w:rsidRPr="00026EBA">
        <w:rPr>
          <w:rFonts w:ascii="Arial" w:hAnsi="Arial" w:cs="Arial"/>
          <w:highlight w:val="magenta"/>
        </w:rPr>
        <w:t>.</w:t>
      </w:r>
      <w:r>
        <w:rPr>
          <w:rFonts w:ascii="Arial" w:hAnsi="Arial" w:cs="Arial"/>
          <w:lang w:val="es-ES"/>
        </w:rPr>
        <w:t xml:space="preserve"> </w:t>
      </w:r>
      <w:r w:rsidRPr="00922C38">
        <w:rPr>
          <w:rFonts w:ascii="Arial" w:hAnsi="Arial" w:cs="Arial"/>
        </w:rPr>
        <w:t>11001-03-06-000-2016-00224;.</w:t>
      </w:r>
      <w:r w:rsidRPr="00922C38">
        <w:t xml:space="preserve"> </w:t>
      </w:r>
    </w:p>
  </w:footnote>
  <w:footnote w:id="19">
    <w:p w:rsidRPr="00922C38" w:rsidR="0098532D" w:rsidP="0098532D" w:rsidRDefault="0098532D" w14:paraId="25EFD84F" w14:textId="77777777">
      <w:pPr>
        <w:pStyle w:val="Textonotapie"/>
        <w:jc w:val="both"/>
        <w:rPr>
          <w:rFonts w:ascii="Arial" w:hAnsi="Arial" w:cs="Arial"/>
          <w:i/>
          <w:lang w:val="es-CO"/>
        </w:rPr>
      </w:pPr>
      <w:r w:rsidRPr="00922C38">
        <w:rPr>
          <w:rStyle w:val="Refdenotaalpie"/>
          <w:rFonts w:ascii="Arial" w:hAnsi="Arial" w:cs="Arial"/>
        </w:rPr>
        <w:footnoteRef/>
      </w:r>
      <w:r w:rsidRPr="00922C38">
        <w:rPr>
          <w:rFonts w:ascii="Arial" w:hAnsi="Arial" w:cs="Arial"/>
          <w:i/>
        </w:rPr>
        <w:t xml:space="preserve"> </w:t>
      </w:r>
      <w:r w:rsidRPr="00922C38">
        <w:rPr>
          <w:rFonts w:ascii="Arial" w:hAnsi="Arial" w:cs="Arial"/>
        </w:rPr>
        <w:t>Ley 100 de 1993, Artículo 151. «Vigencia del sistema general de pensiones. El sistema general de pensiones previsto en la presente ley, regirá a partir del 1º de abril de 1994. No obstante, el gobierno podrá autorizar el funcionamiento de las administradoras de los fondos de pensiones y de cesantía con sujeción a las disposiciones contempladas en la presente ley, a partir de la vigencia de la misma. / Parágrafo. El sistema general de pensiones para los servidores públicos del nivel departamental, municipal y distrital, entrará a regir a más tardar el 30 de junio de 1995, en la fecha que así lo determine la respectiva autoridad gubernamental»</w:t>
      </w:r>
      <w:r w:rsidRPr="00922C38">
        <w:rPr>
          <w:rFonts w:ascii="Arial" w:hAnsi="Arial" w:cs="Arial"/>
          <w:lang w:val="es-CO"/>
        </w:rPr>
        <w:t>.</w:t>
      </w:r>
    </w:p>
  </w:footnote>
  <w:footnote w:id="20">
    <w:p w:rsidRPr="00922C38" w:rsidR="0098532D" w:rsidP="0098532D" w:rsidRDefault="0098532D" w14:paraId="7D4A2863" w14:textId="77777777">
      <w:pPr>
        <w:pStyle w:val="Textonotapie"/>
        <w:jc w:val="both"/>
      </w:pPr>
      <w:r w:rsidRPr="00922C38">
        <w:rPr>
          <w:rStyle w:val="Refdenotaalpie"/>
          <w:rFonts w:ascii="Arial" w:hAnsi="Arial" w:cs="Arial"/>
        </w:rPr>
        <w:footnoteRef/>
      </w:r>
      <w:r w:rsidRPr="00922C38">
        <w:rPr>
          <w:rFonts w:ascii="Arial" w:hAnsi="Arial" w:cs="Arial"/>
        </w:rPr>
        <w:t xml:space="preserve"> Acto Legislativo 01 de 2005 (julio 22) «Por el cual se adiciona el artículo 48 de la Constitución Política».</w:t>
      </w:r>
      <w:r w:rsidRPr="00922C38">
        <w:t xml:space="preserve"> </w:t>
      </w:r>
    </w:p>
  </w:footnote>
  <w:footnote w:id="21">
    <w:p w:rsidRPr="00922C38" w:rsidR="0098532D" w:rsidP="0098532D" w:rsidRDefault="0098532D" w14:paraId="20FC481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A. L. 01/05.  Artículo 2o. «El presente acto legislativo rige a partir de la fecha de su publicación»</w:t>
      </w:r>
      <w:r w:rsidRPr="00922C38">
        <w:rPr>
          <w:rFonts w:ascii="Arial" w:hAnsi="Arial" w:cs="Arial"/>
          <w:lang w:val="es-CO"/>
        </w:rPr>
        <w:t>.</w:t>
      </w:r>
      <w:r w:rsidRPr="00922C38">
        <w:rPr>
          <w:rFonts w:ascii="Arial" w:hAnsi="Arial" w:cs="Arial"/>
        </w:rPr>
        <w:t xml:space="preserve">Fue publicado en el Diario Oficial No. 45.980 de 25 de julio de 2005 </w:t>
      </w:r>
    </w:p>
  </w:footnote>
  <w:footnote w:id="22">
    <w:p w:rsidRPr="00922C38" w:rsidR="0098532D" w:rsidP="0098532D" w:rsidRDefault="0098532D" w14:paraId="09656F73"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concepto del 10 de diciembre de 2013, Radicación No.  2194, Expediente 11001 03 06 000 2013 00540 00</w:t>
      </w:r>
    </w:p>
  </w:footnote>
  <w:footnote w:id="23">
    <w:p w:rsidRPr="00922C38" w:rsidR="0098532D" w:rsidP="0098532D" w:rsidRDefault="0098532D" w14:paraId="137135E5" w14:textId="77777777">
      <w:pPr>
        <w:pStyle w:val="Textonotapie"/>
        <w:jc w:val="both"/>
        <w:rPr>
          <w:lang w:val="es-MX"/>
        </w:rPr>
      </w:pPr>
      <w:r w:rsidRPr="00922C38">
        <w:rPr>
          <w:rStyle w:val="Refdenotaalpie"/>
        </w:rPr>
        <w:footnoteRef/>
      </w:r>
      <w:r w:rsidRPr="00922C38">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sidRPr="00922C38">
        <w:rPr>
          <w:rFonts w:ascii="Arial" w:hAnsi="Arial" w:cs="Arial"/>
          <w:lang w:val="es-MX"/>
        </w:rPr>
        <w:t xml:space="preserve">. </w:t>
      </w:r>
    </w:p>
  </w:footnote>
  <w:footnote w:id="24">
    <w:p w:rsidRPr="00922C38" w:rsidR="0098532D" w:rsidP="0098532D" w:rsidRDefault="0098532D" w14:paraId="792D3E9F"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71 de 1988 (diciembre 19) «</w:t>
      </w:r>
      <w:r>
        <w:rPr>
          <w:rFonts w:ascii="Arial" w:hAnsi="Arial" w:cs="Arial"/>
          <w:lang w:val="es-ES"/>
        </w:rPr>
        <w:t>P</w:t>
      </w:r>
      <w:r w:rsidRPr="00922C38">
        <w:rPr>
          <w:rFonts w:ascii="Arial" w:hAnsi="Arial" w:cs="Arial"/>
        </w:rPr>
        <w:t>or la cual se expiden normas sobre pensiones y se dictan otras disposiciones».</w:t>
      </w:r>
    </w:p>
  </w:footnote>
  <w:footnote w:id="25">
    <w:p w:rsidRPr="00922C38" w:rsidR="0098532D" w:rsidP="0098532D" w:rsidRDefault="0098532D" w14:paraId="57C84EF3" w14:textId="77777777">
      <w:pPr>
        <w:pStyle w:val="Textonotapie"/>
        <w:jc w:val="both"/>
        <w:rPr>
          <w:rFonts w:ascii="Arial" w:hAnsi="Arial" w:cs="Arial"/>
        </w:rPr>
      </w:pPr>
      <w:r w:rsidRPr="00922C38">
        <w:rPr>
          <w:rStyle w:val="Refdenotaalpie"/>
        </w:rPr>
        <w:footnoteRef/>
      </w:r>
      <w:r w:rsidRPr="00922C38">
        <w:t xml:space="preserve"> </w:t>
      </w:r>
      <w:r w:rsidRPr="00922C38">
        <w:rPr>
          <w:lang w:val="es-MX"/>
        </w:rPr>
        <w:t xml:space="preserve"> </w:t>
      </w:r>
      <w:r w:rsidRPr="00922C38">
        <w:rPr>
          <w:rFonts w:ascii="Arial" w:hAnsi="Arial" w:cs="Arial"/>
          <w:lang w:val="es-MX"/>
        </w:rPr>
        <w:t xml:space="preserve">Decreto 2709 de 1994. </w:t>
      </w:r>
      <w:r w:rsidRPr="00922C38">
        <w:rPr>
          <w:rFonts w:ascii="Arial" w:hAnsi="Arial" w:cs="Arial"/>
        </w:rPr>
        <w:t>«</w:t>
      </w:r>
      <w:r w:rsidRPr="00922C38">
        <w:rPr>
          <w:rFonts w:ascii="Arial" w:hAnsi="Arial" w:cs="Arial" w:eastAsiaTheme="minorHAnsi"/>
          <w:bCs/>
          <w:shd w:val="clear" w:color="auto" w:fill="FFFFFF"/>
          <w:lang w:val="es-CO" w:eastAsia="en-US"/>
        </w:rPr>
        <w:t>Por el cual se reglamenta el artículo 7de la Ley 71 de 1988</w:t>
      </w:r>
      <w:r w:rsidRPr="00922C38">
        <w:rPr>
          <w:rFonts w:ascii="Arial" w:hAnsi="Arial" w:cs="Arial"/>
        </w:rPr>
        <w:t>»</w:t>
      </w:r>
    </w:p>
  </w:footnote>
  <w:footnote w:id="26">
    <w:p w:rsidRPr="00922C38" w:rsidR="0098532D" w:rsidP="0098532D" w:rsidRDefault="0098532D" w14:paraId="3A899D6A" w14:textId="77777777">
      <w:pPr>
        <w:pStyle w:val="Textonotapie"/>
        <w:jc w:val="both"/>
        <w:rPr>
          <w:lang w:val="es-ES"/>
        </w:rPr>
      </w:pPr>
      <w:r>
        <w:rPr>
          <w:rStyle w:val="Refdenotaalpie"/>
        </w:rPr>
        <w:footnoteRef/>
      </w:r>
      <w:r>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Pr>
          <w:rFonts w:ascii="Arial" w:hAnsi="Arial" w:cs="Arial"/>
          <w:lang w:val="es-MX"/>
        </w:rPr>
        <w:t xml:space="preserve">; </w:t>
      </w:r>
      <w:r w:rsidRPr="004A1D93">
        <w:rPr>
          <w:rFonts w:ascii="Arial" w:hAnsi="Arial" w:cs="Arial"/>
          <w:lang w:val="es-MX"/>
        </w:rPr>
        <w:t>Consejo de Estado, Sala de Consulta y Servicio Civil, Decisión del 31 de agosto de 2021 Rad. núm. 11001-03-06-000-2021-00064-00(C)</w:t>
      </w:r>
      <w:r>
        <w:rPr>
          <w:rFonts w:ascii="Arial" w:hAnsi="Arial" w:cs="Arial"/>
          <w:lang w:val="es-MX"/>
        </w:rPr>
        <w:t xml:space="preserve">; </w:t>
      </w:r>
      <w:r w:rsidRPr="004A1D93">
        <w:rPr>
          <w:rFonts w:ascii="Arial" w:hAnsi="Arial" w:cs="Arial"/>
          <w:lang w:val="es-MX"/>
        </w:rPr>
        <w:t>Consejo de Estado, Sala de Consulta y Servicio Civil, Decisión del 9 de marzo de 2021 Rad. núm. 11001-03-06-000-2020-00222-00(C)</w:t>
      </w:r>
      <w:r>
        <w:rPr>
          <w:rFonts w:ascii="Arial" w:hAnsi="Arial" w:cs="Arial"/>
          <w:lang w:val="es-MX"/>
        </w:rPr>
        <w:t>.</w:t>
      </w:r>
    </w:p>
  </w:footnote>
  <w:footnote w:id="27">
    <w:p w:rsidRPr="00922C38" w:rsidR="0098532D" w:rsidP="0098532D" w:rsidRDefault="0098532D" w14:paraId="4C68BCE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28">
    <w:p w:rsidRPr="00922C38" w:rsidR="0098532D" w:rsidP="0098532D" w:rsidRDefault="0098532D" w14:paraId="6922E79E" w14:textId="77777777">
      <w:pPr>
        <w:pStyle w:val="Textonotapie"/>
        <w:jc w:val="both"/>
      </w:pPr>
      <w:r w:rsidRPr="00922C38">
        <w:rPr>
          <w:rStyle w:val="Refdenotaalpie"/>
        </w:rPr>
        <w:footnoteRef/>
      </w:r>
      <w:r w:rsidRPr="00922C38">
        <w:t xml:space="preserve"> </w:t>
      </w:r>
      <w:r w:rsidRPr="00922C38">
        <w:rPr>
          <w:rFonts w:ascii="Arial" w:hAnsi="Arial" w:cs="Arial"/>
        </w:rPr>
        <w:t>Decreto 813 de 1994 (abril 21) «Por el cual se reglamenta el artículo 36 de la Ley 100 de 1993»</w:t>
      </w:r>
    </w:p>
  </w:footnote>
  <w:footnote w:id="29">
    <w:p w:rsidRPr="00922C38" w:rsidR="0098532D" w:rsidP="0098532D" w:rsidRDefault="0098532D" w14:paraId="7B1C771B"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30">
    <w:p w:rsidRPr="00922C38" w:rsidR="0098532D" w:rsidP="0098532D" w:rsidRDefault="0098532D" w14:paraId="0E12376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 xml:space="preserve">, entre otras. </w:t>
      </w:r>
    </w:p>
  </w:footnote>
  <w:footnote w:id="31">
    <w:p w:rsidRPr="000F65F2" w:rsidR="0098532D" w:rsidP="0098532D" w:rsidRDefault="0098532D" w14:paraId="6BE52ABC" w14:textId="77777777">
      <w:pPr>
        <w:pStyle w:val="Textonotapie"/>
        <w:jc w:val="both"/>
        <w:rPr>
          <w:lang w:val="es-ES"/>
        </w:rPr>
      </w:pPr>
      <w:r>
        <w:rPr>
          <w:rStyle w:val="Refdenotaalpie"/>
        </w:rPr>
        <w:footnoteRef/>
      </w:r>
      <w:r>
        <w:t xml:space="preserve"> </w:t>
      </w:r>
      <w:r>
        <w:rPr>
          <w:rFonts w:eastAsia="Arial Unicode MS" w:cs="Arial"/>
          <w:bCs/>
          <w:lang w:val="es-ES"/>
        </w:rPr>
        <w:t xml:space="preserve">Reglamentado por el </w:t>
      </w:r>
      <w:r w:rsidRPr="0011186D">
        <w:rPr>
          <w:rFonts w:eastAsia="Arial Unicode MS" w:cs="Arial"/>
          <w:bCs/>
        </w:rPr>
        <w:t>Decreto 692 de 199</w:t>
      </w:r>
      <w:r>
        <w:rPr>
          <w:rFonts w:eastAsia="Arial Unicode MS" w:cs="Arial"/>
          <w:bCs/>
        </w:rPr>
        <w:t>4</w:t>
      </w:r>
      <w:r>
        <w:rPr>
          <w:rFonts w:eastAsia="Arial Unicode MS" w:cs="Arial"/>
          <w:bCs/>
          <w:lang w:val="es-ES"/>
        </w:rPr>
        <w:t xml:space="preserve"> </w:t>
      </w:r>
      <w:r w:rsidRPr="00922C38">
        <w:rPr>
          <w:rStyle w:val="Textoennegrita"/>
          <w:rFonts w:ascii="Arial" w:hAnsi="Arial" w:cs="Arial"/>
          <w:b w:val="0"/>
          <w:bCs w:val="0"/>
          <w:shd w:val="clear" w:color="auto" w:fill="FFFFFF"/>
        </w:rPr>
        <w:t>«Por el cual se reglamenta parcialmente la Ley</w:t>
      </w:r>
      <w:r w:rsidRPr="00922C38">
        <w:rPr>
          <w:rStyle w:val="Textoennegrita"/>
          <w:rFonts w:ascii="Arial" w:hAnsi="Arial" w:cs="Arial"/>
          <w:b w:val="0"/>
          <w:bCs w:val="0"/>
          <w:shd w:val="clear" w:color="auto" w:fill="FFFFFF"/>
          <w:lang w:val="es-CO"/>
        </w:rPr>
        <w:t xml:space="preserve"> </w:t>
      </w:r>
      <w:r w:rsidRPr="00922C38">
        <w:rPr>
          <w:rFonts w:ascii="Arial" w:hAnsi="Arial" w:cs="Arial"/>
          <w:shd w:val="clear" w:color="auto" w:fill="FFFFFF"/>
        </w:rPr>
        <w:t xml:space="preserve">100 </w:t>
      </w:r>
      <w:r w:rsidRPr="00922C38">
        <w:rPr>
          <w:rStyle w:val="Textoennegrita"/>
          <w:rFonts w:ascii="Arial" w:hAnsi="Arial" w:cs="Arial"/>
          <w:b w:val="0"/>
          <w:bCs w:val="0"/>
          <w:shd w:val="clear" w:color="auto" w:fill="FFFFFF"/>
        </w:rPr>
        <w:t>de 1993».</w:t>
      </w:r>
    </w:p>
  </w:footnote>
  <w:footnote w:id="32">
    <w:p w:rsidRPr="00922C38" w:rsidR="0098532D" w:rsidP="0098532D" w:rsidRDefault="0098532D" w14:paraId="51A55BD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1151 de 2007 (julio 24), «Por la cual se expide el Plan Nacional de Desarrollo 2006-2010».</w:t>
      </w:r>
    </w:p>
  </w:footnote>
  <w:footnote w:id="33">
    <w:p w:rsidRPr="00922C38" w:rsidR="0098532D" w:rsidP="0098532D" w:rsidRDefault="0098532D" w14:paraId="4FC13686"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2011 de 2012 (septiembre 28), «Por el cual se determina y reglamenta la entrada en operación de la Administradora Colombiana de Pensiones – Colpensiones, y se dictan otras disposiciones».</w:t>
      </w:r>
      <w:r w:rsidRPr="00922C38">
        <w:rPr>
          <w:rFonts w:ascii="Arial" w:hAnsi="Arial" w:cs="Arial"/>
          <w:b/>
          <w:bCs/>
        </w:rPr>
        <w:t xml:space="preserve"> </w:t>
      </w:r>
    </w:p>
  </w:footnote>
  <w:footnote w:id="34">
    <w:p w:rsidRPr="00922C38" w:rsidR="0098532D" w:rsidP="0098532D" w:rsidRDefault="0098532D" w14:paraId="4255905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2012 de 2012 (septiembre 28), «Por </w:t>
      </w:r>
      <w:r w:rsidRPr="00922C38">
        <w:rPr>
          <w:rFonts w:ascii="Arial" w:hAnsi="Arial" w:cs="Arial"/>
          <w:lang w:val="es-ES"/>
        </w:rPr>
        <w:t xml:space="preserve">el cual se suprimen unas dependencias de la estructura del Instituto de Seguros Sociales –ISS». </w:t>
      </w:r>
    </w:p>
  </w:footnote>
  <w:footnote w:id="35">
    <w:p w:rsidRPr="00922C38" w:rsidR="0098532D" w:rsidP="0098532D" w:rsidRDefault="0098532D" w14:paraId="678F3564"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2013 de 2012 (septiembre 28), «Por el cual se suprime el Instituto de Seguros Sociales, ISS, se ordena su liquidación, y se dictan otras disposiciones». </w:t>
      </w:r>
    </w:p>
  </w:footnote>
  <w:footnote w:id="36">
    <w:p w:rsidRPr="00922C38" w:rsidR="0098532D" w:rsidP="0098532D" w:rsidRDefault="0098532D" w14:paraId="7C002AB8"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 xml:space="preserve">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w:t>
      </w:r>
    </w:p>
  </w:footnote>
  <w:footnote w:id="37">
    <w:p w:rsidRPr="00922C38" w:rsidR="0098532D" w:rsidP="0098532D" w:rsidRDefault="0098532D" w14:paraId="2D73DC8A"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25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22, </w:t>
      </w:r>
      <w:r w:rsidRPr="00922C38">
        <w:rPr>
          <w:rFonts w:ascii="Arial" w:hAnsi="Arial" w:cs="Arial"/>
        </w:rPr>
        <w:t xml:space="preserve">Radicado </w:t>
      </w:r>
      <w:r w:rsidRPr="00922C38">
        <w:rPr>
          <w:rFonts w:ascii="Arial" w:hAnsi="Arial" w:cs="Arial"/>
          <w:szCs w:val="24"/>
        </w:rPr>
        <w:t>11001-03-06-000-202</w:t>
      </w:r>
      <w:r w:rsidRPr="00922C38">
        <w:rPr>
          <w:rFonts w:ascii="Arial" w:hAnsi="Arial" w:cs="Arial"/>
          <w:szCs w:val="24"/>
          <w:lang w:val="es-CO"/>
        </w:rPr>
        <w:t>1</w:t>
      </w:r>
      <w:r w:rsidRPr="00922C38">
        <w:rPr>
          <w:rFonts w:ascii="Arial" w:hAnsi="Arial" w:cs="Arial"/>
          <w:szCs w:val="24"/>
        </w:rPr>
        <w:t>-00</w:t>
      </w:r>
      <w:r w:rsidRPr="00922C38">
        <w:rPr>
          <w:rFonts w:ascii="Arial" w:hAnsi="Arial" w:cs="Arial"/>
          <w:szCs w:val="24"/>
          <w:lang w:val="es-CO"/>
        </w:rPr>
        <w:t>176</w:t>
      </w:r>
      <w:r w:rsidRPr="00922C38">
        <w:rPr>
          <w:rFonts w:ascii="Arial" w:hAnsi="Arial" w:cs="Arial"/>
          <w:szCs w:val="24"/>
        </w:rPr>
        <w:t>-00</w:t>
      </w:r>
    </w:p>
  </w:footnote>
  <w:footnote w:id="38">
    <w:p w:rsidRPr="00922C38" w:rsidR="0098532D" w:rsidP="0098532D" w:rsidRDefault="0098532D" w14:paraId="50E0722C"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L</w:t>
      </w:r>
      <w:r w:rsidRPr="00922C38">
        <w:rPr>
          <w:rFonts w:ascii="Arial" w:hAnsi="Arial" w:cs="Arial"/>
        </w:rPr>
        <w:t>os miembros y personal civil de las Fuerzas Militares y de la Policía Nacional, los miembros no remunerados de las Corporaciones Públicas, los afiliados al Fondo Nacional de Prestaciones Sociales del Magisterio y los servidores públicos y pensionados de la Empresa Colombiana de Petróleos</w:t>
      </w:r>
      <w:r w:rsidRPr="00922C38">
        <w:rPr>
          <w:rFonts w:ascii="Arial" w:hAnsi="Arial" w:cs="Arial"/>
          <w:lang w:val="es-CO"/>
        </w:rPr>
        <w:t>.</w:t>
      </w:r>
    </w:p>
  </w:footnote>
  <w:footnote w:id="39">
    <w:p w:rsidRPr="00922C38" w:rsidR="0098532D" w:rsidP="0098532D" w:rsidRDefault="0098532D" w14:paraId="4D88EC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Decreto 692 de 1994</w:t>
      </w:r>
      <w:r w:rsidRPr="00922C38">
        <w:rPr>
          <w:rFonts w:ascii="Arial" w:hAnsi="Arial" w:cs="Arial"/>
          <w:lang w:val="es-CO"/>
        </w:rPr>
        <w:t xml:space="preserve"> (marzo 29) </w:t>
      </w:r>
      <w:r w:rsidRPr="00922C38">
        <w:rPr>
          <w:rFonts w:ascii="Arial" w:hAnsi="Arial" w:cs="Arial"/>
          <w:bCs/>
        </w:rPr>
        <w:t>«</w:t>
      </w:r>
      <w:r w:rsidRPr="00922C38">
        <w:rPr>
          <w:rFonts w:ascii="Arial" w:hAnsi="Arial" w:cs="Arial"/>
          <w:lang w:val="es-CO"/>
        </w:rPr>
        <w:t>[P]</w:t>
      </w:r>
      <w:r w:rsidRPr="00922C38">
        <w:rPr>
          <w:rFonts w:ascii="Arial" w:hAnsi="Arial" w:cs="Arial"/>
        </w:rPr>
        <w:t>or el cual se reglamenta la entrada en vigencia del sistema general de pensiones en los niveles departamental, municipal y distrital, la constitución de los fondos de pensiones del nivel territorial, y la declaratoria de solvencia de las cajas, fondos o entidades de previsión social del sector púb</w:t>
      </w:r>
      <w:bookmarkStart w:name="_GoBack" w:id="7"/>
      <w:bookmarkEnd w:id="7"/>
      <w:r w:rsidRPr="00922C38">
        <w:rPr>
          <w:rFonts w:ascii="Arial" w:hAnsi="Arial" w:cs="Arial"/>
        </w:rPr>
        <w:t>lico del nivel territorial</w:t>
      </w:r>
      <w:r w:rsidRPr="00922C38">
        <w:rPr>
          <w:rFonts w:ascii="Arial" w:hAnsi="Arial" w:cs="Arial"/>
          <w:bCs/>
        </w:rPr>
        <w:t>»</w:t>
      </w:r>
      <w:r w:rsidRPr="00922C38">
        <w:rPr>
          <w:rFonts w:ascii="Arial" w:hAnsi="Arial" w:cs="Arial"/>
          <w:bCs/>
          <w:lang w:val="es-CO"/>
        </w:rPr>
        <w:t>.</w:t>
      </w:r>
    </w:p>
  </w:footnote>
  <w:footnote w:id="40">
    <w:p w:rsidRPr="00922C38" w:rsidR="0098532D" w:rsidP="0098532D" w:rsidRDefault="0098532D" w14:paraId="18DB8301" w14:textId="77777777">
      <w:pPr>
        <w:spacing w:after="0"/>
        <w:jc w:val="both"/>
        <w:rPr>
          <w:rFonts w:cs="Arial"/>
        </w:rPr>
      </w:pPr>
      <w:r w:rsidRPr="00922C38">
        <w:rPr>
          <w:rStyle w:val="Refdenotaalpie"/>
          <w:rFonts w:cs="Arial"/>
          <w:sz w:val="20"/>
          <w:szCs w:val="20"/>
        </w:rPr>
        <w:footnoteRef/>
      </w:r>
      <w:r w:rsidRPr="00922C38">
        <w:rPr>
          <w:rFonts w:cs="Arial"/>
          <w:sz w:val="20"/>
          <w:szCs w:val="20"/>
        </w:rPr>
        <w:t xml:space="preserve"> La reglamentación de la declaración de solvencia, insolvencia y del proceso de liquidación de estas entidades se encuentra en el Decreto 1068 de 1995, en concordancia con lo establecido en el artículo 151 de la Ley 100 de 1993.</w:t>
      </w:r>
    </w:p>
  </w:footnote>
  <w:footnote w:id="41">
    <w:p w:rsidRPr="00922C38" w:rsidR="0098532D" w:rsidP="0098532D" w:rsidRDefault="0098532D" w14:paraId="383D8299"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20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21, </w:t>
      </w:r>
      <w:r w:rsidRPr="00922C38">
        <w:rPr>
          <w:rFonts w:ascii="Arial" w:hAnsi="Arial" w:cs="Arial"/>
        </w:rPr>
        <w:t xml:space="preserve">Radicado </w:t>
      </w:r>
      <w:r w:rsidRPr="00922C38">
        <w:rPr>
          <w:rFonts w:ascii="Arial" w:hAnsi="Arial" w:cs="Arial"/>
          <w:szCs w:val="24"/>
        </w:rPr>
        <w:t>11001-03-06-000-2020-00040-00</w:t>
      </w:r>
    </w:p>
  </w:footnote>
  <w:footnote w:id="42">
    <w:p w:rsidRPr="00922C38" w:rsidR="0098532D" w:rsidP="0098532D" w:rsidRDefault="0098532D" w14:paraId="2AC7FB21" w14:textId="77777777">
      <w:pPr>
        <w:pStyle w:val="Textonotapie"/>
        <w:jc w:val="both"/>
        <w:rPr>
          <w:rFonts w:ascii="Arial" w:hAnsi="Arial" w:cs="Arial"/>
          <w:lang w:val="es-MX"/>
        </w:rPr>
      </w:pPr>
      <w:r w:rsidRPr="00922C38">
        <w:rPr>
          <w:rStyle w:val="Refdenotaalpie"/>
          <w:rFonts w:ascii="Arial" w:hAnsi="Arial" w:cs="Arial" w:eastAsiaTheme="majorEastAsia"/>
          <w:i/>
        </w:rPr>
        <w:footnoteRef/>
      </w:r>
      <w:r w:rsidRPr="00922C38">
        <w:rPr>
          <w:rFonts w:ascii="Arial" w:hAnsi="Arial" w:cs="Arial"/>
          <w:bCs/>
          <w:shd w:val="clear" w:color="auto" w:fill="FFFFFF"/>
        </w:rPr>
        <w:t>Decreto 1296 de 1994</w:t>
      </w:r>
      <w:r w:rsidRPr="00922C38">
        <w:rPr>
          <w:rFonts w:ascii="Arial" w:hAnsi="Arial" w:cs="Arial"/>
        </w:rPr>
        <w:t xml:space="preserve"> </w:t>
      </w:r>
      <w:r w:rsidRPr="00922C38">
        <w:rPr>
          <w:rFonts w:ascii="Arial" w:hAnsi="Arial" w:cs="Arial"/>
          <w:shd w:val="clear" w:color="auto" w:fill="FFFFFF"/>
        </w:rPr>
        <w:t>(junio 22), «por el cual se establece el régimen de los fondos departamentales, distritales y municipales de pensiones públicas.</w:t>
      </w:r>
      <w:r w:rsidRPr="00922C38">
        <w:rPr>
          <w:rFonts w:ascii="Arial" w:hAnsi="Arial" w:cs="Arial"/>
        </w:rPr>
        <w:t>».</w:t>
      </w:r>
    </w:p>
  </w:footnote>
  <w:footnote w:id="43">
    <w:p w:rsidRPr="00922C38" w:rsidR="0098532D" w:rsidP="0098532D" w:rsidRDefault="0098532D" w14:paraId="54F9E8C5" w14:textId="77777777">
      <w:pPr>
        <w:pStyle w:val="Textonotapie"/>
        <w:jc w:val="both"/>
      </w:pPr>
      <w:r w:rsidRPr="00922C38">
        <w:rPr>
          <w:rStyle w:val="Refdenotaalpie"/>
          <w:rFonts w:ascii="Arial" w:hAnsi="Arial" w:cs="Arial" w:eastAsiaTheme="majorEastAsia"/>
        </w:rPr>
        <w:footnoteRef/>
      </w:r>
      <w:r w:rsidRPr="00922C38">
        <w:rPr>
          <w:rFonts w:ascii="Arial" w:hAnsi="Arial" w:cs="Arial"/>
        </w:rPr>
        <w:t xml:space="preserve"> PDF 10, folios 40 a 45, expediente digital.</w:t>
      </w:r>
    </w:p>
  </w:footnote>
  <w:footnote w:id="44">
    <w:p w:rsidRPr="00922C38" w:rsidR="0098532D" w:rsidP="0098532D" w:rsidRDefault="0098532D" w14:paraId="1263A7DC" w14:textId="77777777">
      <w:pPr>
        <w:pStyle w:val="Textonotapie"/>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 xml:space="preserve"> PDF 10, folio</w:t>
      </w:r>
      <w:r w:rsidRPr="00922C38">
        <w:rPr>
          <w:rFonts w:ascii="Arial" w:hAnsi="Arial" w:cs="Arial"/>
          <w:lang w:val="es-MX"/>
        </w:rPr>
        <w:t xml:space="preserve">s </w:t>
      </w:r>
      <w:r w:rsidRPr="00922C38">
        <w:rPr>
          <w:rFonts w:ascii="Arial" w:hAnsi="Arial" w:cs="Arial"/>
        </w:rPr>
        <w:t>31 y 32, expediente digital.</w:t>
      </w:r>
    </w:p>
  </w:footnote>
  <w:footnote w:id="45">
    <w:p w:rsidRPr="00922C38" w:rsidR="0098532D" w:rsidP="0098532D" w:rsidRDefault="0098532D" w14:paraId="142B51A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La elaboración de la tabla se realizó a partir de la información aportada por Colpensiones y la contenida en los certificados CETIL remitidos por la Oficina de Bonos Pensionales del Ministerio de Hacienda y Crédito Público. </w:t>
      </w:r>
    </w:p>
  </w:footnote>
  <w:footnote w:id="46">
    <w:p w:rsidRPr="00922C38" w:rsidR="0098532D" w:rsidP="0098532D" w:rsidRDefault="0098532D" w14:paraId="5CE940D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Sala de Consulta y Servicio Civil. Decisiones del </w:t>
      </w:r>
      <w:r w:rsidRPr="00922C38">
        <w:rPr>
          <w:rFonts w:ascii="Arial" w:hAnsi="Arial" w:cs="Arial"/>
          <w:shd w:val="clear" w:color="auto" w:fill="FFFFFF"/>
        </w:rPr>
        <w:t>12 de diciembre de 2017</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11001-03-06-000-2017-00133-00(C)</w:t>
      </w:r>
      <w:r w:rsidRPr="00922C38">
        <w:rPr>
          <w:rFonts w:ascii="Arial" w:hAnsi="Arial" w:cs="Arial"/>
          <w:shd w:val="clear" w:color="auto" w:fill="FFFFFF"/>
          <w:lang w:val="es-CO"/>
        </w:rPr>
        <w:t xml:space="preserve">), </w:t>
      </w:r>
      <w:r w:rsidRPr="00922C38">
        <w:rPr>
          <w:rFonts w:ascii="Arial" w:hAnsi="Arial" w:cs="Arial"/>
          <w:shd w:val="clear" w:color="auto" w:fill="FFFFFF"/>
        </w:rPr>
        <w:t>del 27 de febrero de 2018</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11001-03-06-000-2017-00169-00</w:t>
      </w:r>
      <w:r w:rsidRPr="00922C38">
        <w:rPr>
          <w:rFonts w:ascii="Arial" w:hAnsi="Arial" w:cs="Arial"/>
          <w:shd w:val="clear" w:color="auto" w:fill="FFFFFF"/>
          <w:lang w:val="es-CO"/>
        </w:rPr>
        <w:t>), y del 9 de diciembre de 2020 (Radicado núm. 11001030600020200019200).</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RDefault="001338AE" w14:paraId="62EEC88E" w14:textId="77777777">
    <w:pPr>
      <w:pStyle w:val="Encabezado"/>
      <w:jc w:val="right"/>
    </w:pPr>
  </w:p>
  <w:p w:rsidRPr="00F31A3D" w:rsidR="001338AE" w:rsidRDefault="001338AE" w14:paraId="1C93E8C0" w14:textId="77777777">
    <w:pPr>
      <w:pStyle w:val="Encabezado"/>
      <w:jc w:val="right"/>
      <w:rPr>
        <w:sz w:val="22"/>
        <w:szCs w:val="22"/>
      </w:rPr>
    </w:pPr>
  </w:p>
  <w:p w:rsidRPr="00F31A3D" w:rsidR="001338AE" w:rsidRDefault="001338AE" w14:paraId="01D2A91C" w14:textId="77777777">
    <w:pPr>
      <w:pStyle w:val="Encabezado"/>
      <w:jc w:val="right"/>
      <w:rPr>
        <w:sz w:val="22"/>
        <w:szCs w:val="22"/>
      </w:rPr>
    </w:pPr>
  </w:p>
  <w:p w:rsidR="001338AE" w:rsidP="009860F8" w:rsidRDefault="001338AE" w14:paraId="37AFCFD7" w14:textId="6007173C">
    <w:pPr>
      <w:pStyle w:val="Encabezado"/>
      <w:tabs>
        <w:tab w:val="right" w:pos="8838"/>
      </w:tabs>
      <w:rPr>
        <w:rFonts w:ascii="Arial" w:hAnsi="Arial" w:cs="Arial"/>
        <w:sz w:val="22"/>
        <w:szCs w:val="22"/>
      </w:rPr>
    </w:pPr>
    <w:r>
      <w:rPr>
        <w:rFonts w:ascii="Arial" w:hAnsi="Arial" w:cs="Arial"/>
        <w:sz w:val="22"/>
        <w:szCs w:val="22"/>
        <w:lang w:val="es-CO"/>
      </w:rPr>
      <w:t>Radicación 110010306000202200</w:t>
    </w:r>
    <w:r w:rsidR="0098532D">
      <w:rPr>
        <w:rFonts w:ascii="Arial" w:hAnsi="Arial" w:cs="Arial"/>
        <w:sz w:val="22"/>
        <w:szCs w:val="22"/>
        <w:lang w:val="es-CO"/>
      </w:rPr>
      <w:t>07</w:t>
    </w:r>
    <w:r w:rsidRPr="00F31A3D">
      <w:rPr>
        <w:rFonts w:ascii="Arial" w:hAnsi="Arial" w:cs="Arial"/>
        <w:sz w:val="22"/>
        <w:szCs w:val="22"/>
        <w:lang w:val="es-CO"/>
      </w:rPr>
      <w:t>1</w:t>
    </w:r>
    <w:sdt>
      <w:sdtPr>
        <w:rPr>
          <w:rFonts w:ascii="Arial" w:hAnsi="Arial" w:cs="Arial"/>
          <w:sz w:val="22"/>
          <w:szCs w:val="22"/>
        </w:rPr>
        <w:id w:val="-1318336367"/>
        <w:docPartObj>
          <w:docPartGallery w:val="Page Numbers (Top of Page)"/>
          <w:docPartUnique/>
        </w:docPartObj>
      </w:sdtPr>
      <w:sdtEndPr/>
      <w:sdtContent>
        <w:r>
          <w:rPr>
            <w:rFonts w:ascii="Arial" w:hAnsi="Arial" w:cs="Arial"/>
            <w:sz w:val="22"/>
            <w:szCs w:val="22"/>
            <w:lang w:val="es-MX"/>
          </w:rPr>
          <w:t>00</w:t>
        </w:r>
        <w:r w:rsidRPr="00F31A3D">
          <w:rPr>
            <w:rFonts w:ascii="Arial" w:hAnsi="Arial" w:cs="Arial"/>
            <w:sz w:val="22"/>
            <w:szCs w:val="22"/>
          </w:rPr>
          <w:tab/>
        </w:r>
        <w:r w:rsidRPr="00F31A3D">
          <w:rPr>
            <w:rFonts w:ascii="Arial" w:hAnsi="Arial" w:cs="Arial"/>
            <w:sz w:val="22"/>
            <w:szCs w:val="22"/>
          </w:rPr>
          <w:tab/>
        </w:r>
        <w:r w:rsidRPr="00F31A3D">
          <w:rPr>
            <w:rFonts w:ascii="Arial" w:hAnsi="Arial" w:cs="Arial"/>
            <w:sz w:val="22"/>
            <w:szCs w:val="22"/>
            <w:lang w:val="es-ES"/>
          </w:rPr>
          <w:t xml:space="preserve">Página </w:t>
        </w:r>
        <w:r w:rsidRPr="00F31A3D">
          <w:rPr>
            <w:rFonts w:ascii="Arial" w:hAnsi="Arial" w:cs="Arial"/>
            <w:b/>
            <w:bCs/>
            <w:sz w:val="22"/>
            <w:szCs w:val="22"/>
          </w:rPr>
          <w:fldChar w:fldCharType="begin"/>
        </w:r>
        <w:r w:rsidRPr="00F31A3D">
          <w:rPr>
            <w:rFonts w:ascii="Arial" w:hAnsi="Arial" w:cs="Arial"/>
            <w:b/>
            <w:bCs/>
            <w:sz w:val="22"/>
            <w:szCs w:val="22"/>
          </w:rPr>
          <w:instrText>PAGE</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r w:rsidRPr="00F31A3D">
          <w:rPr>
            <w:rFonts w:ascii="Arial" w:hAnsi="Arial" w:cs="Arial"/>
            <w:sz w:val="22"/>
            <w:szCs w:val="22"/>
            <w:lang w:val="es-ES"/>
          </w:rPr>
          <w:t xml:space="preserve"> de </w:t>
        </w:r>
        <w:r w:rsidRPr="00F31A3D">
          <w:rPr>
            <w:rFonts w:ascii="Arial" w:hAnsi="Arial" w:cs="Arial"/>
            <w:b/>
            <w:bCs/>
            <w:sz w:val="22"/>
            <w:szCs w:val="22"/>
          </w:rPr>
          <w:fldChar w:fldCharType="begin"/>
        </w:r>
        <w:r w:rsidRPr="00F31A3D">
          <w:rPr>
            <w:rFonts w:ascii="Arial" w:hAnsi="Arial" w:cs="Arial"/>
            <w:b/>
            <w:bCs/>
            <w:sz w:val="22"/>
            <w:szCs w:val="22"/>
          </w:rPr>
          <w:instrText>NUMPAGES</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sdtContent>
    </w:sdt>
  </w:p>
  <w:p w:rsidR="001338AE" w:rsidP="009860F8" w:rsidRDefault="001338AE" w14:paraId="22053443" w14:textId="5E1A315C">
    <w:pPr>
      <w:pStyle w:val="Encabezado"/>
      <w:tabs>
        <w:tab w:val="right" w:pos="8838"/>
      </w:tabs>
      <w:rPr>
        <w:rFonts w:ascii="Arial" w:hAnsi="Arial" w:cs="Arial"/>
        <w:sz w:val="22"/>
        <w:szCs w:val="22"/>
      </w:rPr>
    </w:pPr>
  </w:p>
  <w:p w:rsidR="001338AE" w:rsidP="009860F8" w:rsidRDefault="001338AE" w14:paraId="2DE4726F" w14:textId="3E35DACA">
    <w:pPr>
      <w:pStyle w:val="Encabezado"/>
      <w:tabs>
        <w:tab w:val="right" w:pos="8838"/>
      </w:tabs>
      <w:rPr>
        <w:rFonts w:ascii="Arial" w:hAnsi="Arial" w:cs="Arial"/>
        <w:sz w:val="22"/>
        <w:szCs w:val="22"/>
      </w:rPr>
    </w:pPr>
  </w:p>
  <w:p w:rsidRPr="00017C9B" w:rsidR="001338AE" w:rsidP="009860F8" w:rsidRDefault="001338AE" w14:paraId="60E2E432" w14:textId="5CEB82A1">
    <w:pPr>
      <w:pStyle w:val="Encabezado"/>
      <w:tabs>
        <w:tab w:val="right" w:pos="8838"/>
      </w:tabs>
      <w:rPr>
        <w:rFonts w:ascii="Arial" w:hAnsi="Arial" w:cs="Arial"/>
        <w:sz w:val="22"/>
        <w:szCs w:val="22"/>
        <w:lang w:val="es-CO"/>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E65D33" w:rsidR="001338AE" w:rsidP="003541FE" w:rsidRDefault="001338AE" w14:paraId="1B76E4F3" w14:textId="77777777">
    <w:pPr>
      <w:pStyle w:val="Ttulo"/>
      <w:ind w:right="51"/>
      <w:jc w:val="center"/>
      <w:rPr>
        <w:rFonts w:ascii="Arial" w:hAnsi="Arial" w:cs="Arial"/>
        <w:sz w:val="28"/>
        <w:szCs w:val="28"/>
      </w:rPr>
    </w:pPr>
  </w:p>
  <w:p w:rsidR="001338AE" w:rsidP="003541FE" w:rsidRDefault="001338AE" w14:paraId="3B39F9C5" w14:textId="77777777">
    <w:pPr>
      <w:pStyle w:val="Ttulo"/>
      <w:jc w:val="center"/>
      <w:rPr>
        <w:rFonts w:ascii="Arial" w:hAnsi="Arial" w:cs="Arial"/>
        <w:b/>
        <w:sz w:val="28"/>
        <w:szCs w:val="28"/>
      </w:rPr>
    </w:pPr>
  </w:p>
  <w:p w:rsidR="001338AE" w:rsidP="003541FE" w:rsidRDefault="001338AE" w14:paraId="3A2FDCF3" w14:textId="77777777">
    <w:pPr>
      <w:pStyle w:val="Ttulo"/>
      <w:jc w:val="center"/>
      <w:rPr>
        <w:rFonts w:ascii="Arial" w:hAnsi="Arial" w:cs="Arial"/>
        <w:b/>
        <w:sz w:val="28"/>
        <w:szCs w:val="28"/>
      </w:rPr>
    </w:pPr>
  </w:p>
  <w:p w:rsidR="001338AE" w:rsidP="003541FE" w:rsidRDefault="001338AE" w14:paraId="593C1CB5" w14:textId="77777777">
    <w:pPr>
      <w:pStyle w:val="Ttulo"/>
      <w:jc w:val="center"/>
      <w:rPr>
        <w:rFonts w:ascii="Arial" w:hAnsi="Arial" w:cs="Arial"/>
        <w:b/>
        <w:sz w:val="28"/>
        <w:szCs w:val="28"/>
      </w:rPr>
    </w:pPr>
    <w:r w:rsidRPr="00937762">
      <w:rPr>
        <w:rFonts w:ascii="Times New Roman" w:hAnsi="Times New Roman" w:eastAsia="Times New Roman" w:cs="Arial"/>
        <w:b/>
        <w:noProof/>
        <w:spacing w:val="0"/>
        <w:kern w:val="0"/>
        <w:sz w:val="28"/>
        <w:szCs w:val="24"/>
        <w:lang w:val="en-US"/>
      </w:rPr>
      <w:drawing>
        <wp:anchor distT="0" distB="0" distL="114300" distR="114300" simplePos="0" relativeHeight="251659264" behindDoc="0" locked="0" layoutInCell="1" allowOverlap="1" wp14:anchorId="381F1D86" wp14:editId="1CBC5F78">
          <wp:simplePos x="0" y="0"/>
          <wp:positionH relativeFrom="margin">
            <wp:posOffset>120015</wp:posOffset>
          </wp:positionH>
          <wp:positionV relativeFrom="paragraph">
            <wp:posOffset>5715</wp:posOffset>
          </wp:positionV>
          <wp:extent cx="1333500" cy="114681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5B4A70" w:rsidR="001338AE" w:rsidP="003541FE" w:rsidRDefault="001338AE" w14:paraId="72264210" w14:textId="77777777">
    <w:pPr>
      <w:pStyle w:val="Ttulo"/>
      <w:jc w:val="center"/>
      <w:rPr>
        <w:rFonts w:ascii="Arial" w:hAnsi="Arial" w:cs="Arial"/>
        <w:sz w:val="28"/>
        <w:szCs w:val="28"/>
      </w:rPr>
    </w:pPr>
    <w:r w:rsidRPr="00E65D33">
      <w:rPr>
        <w:rFonts w:ascii="Arial" w:hAnsi="Arial" w:cs="Arial"/>
        <w:b/>
        <w:sz w:val="28"/>
        <w:szCs w:val="28"/>
      </w:rPr>
      <w:t>CONSEJO DE ESTADO</w:t>
    </w:r>
  </w:p>
  <w:p w:rsidRPr="00FD2F8A" w:rsidR="001338AE" w:rsidP="003541FE" w:rsidRDefault="001338AE" w14:paraId="40C158BF" w14:textId="77777777">
    <w:pPr>
      <w:pStyle w:val="Ttulo"/>
      <w:tabs>
        <w:tab w:val="left" w:pos="376"/>
        <w:tab w:val="left" w:pos="675"/>
        <w:tab w:val="left" w:pos="1230"/>
      </w:tabs>
      <w:jc w:val="center"/>
      <w:rPr>
        <w:rFonts w:ascii="Arial" w:hAnsi="Arial" w:cs="Arial"/>
        <w:b/>
        <w:sz w:val="28"/>
        <w:szCs w:val="28"/>
      </w:rPr>
    </w:pPr>
    <w:r>
      <w:rPr>
        <w:rFonts w:ascii="Arial" w:hAnsi="Arial" w:cs="Arial"/>
        <w:b/>
        <w:sz w:val="28"/>
        <w:szCs w:val="28"/>
      </w:rPr>
      <w:tab/>
    </w:r>
    <w:r>
      <w:rPr>
        <w:rFonts w:ascii="Arial" w:hAnsi="Arial" w:cs="Arial"/>
        <w:b/>
        <w:sz w:val="28"/>
        <w:szCs w:val="28"/>
      </w:rPr>
      <w:tab/>
    </w:r>
    <w:r>
      <w:rPr>
        <w:rFonts w:ascii="Arial" w:hAnsi="Arial" w:cs="Arial"/>
        <w:b/>
        <w:sz w:val="28"/>
        <w:szCs w:val="28"/>
      </w:rPr>
      <w:tab/>
    </w:r>
  </w:p>
  <w:p w:rsidR="001338AE" w:rsidP="003541FE" w:rsidRDefault="001338AE" w14:paraId="547677D2" w14:textId="77777777">
    <w:pPr>
      <w:jc w:val="center"/>
      <w:rPr>
        <w:rFonts w:cs="Arial"/>
        <w:b/>
        <w:bCs/>
      </w:rPr>
    </w:pPr>
    <w:r w:rsidRPr="00E65D33">
      <w:rPr>
        <w:rFonts w:cs="Arial"/>
        <w:b/>
        <w:bCs/>
      </w:rPr>
      <w:t>SALA DE CONSULTA Y SERVICIO CIV</w:t>
    </w:r>
    <w:r>
      <w:rPr>
        <w:rFonts w:cs="Arial"/>
        <w:b/>
        <w:bCs/>
      </w:rPr>
      <w:t>IL</w:t>
    </w:r>
  </w:p>
  <w:p w:rsidRPr="00B07845" w:rsidR="001338AE" w:rsidP="003541FE" w:rsidRDefault="001338AE" w14:paraId="5FDF845C" w14:textId="48D879DB">
    <w:pPr>
      <w:jc w:val="center"/>
      <w:rPr>
        <w:rFonts w:cs="Arial"/>
        <w:b/>
        <w:bCs/>
        <w:sz w:val="22"/>
      </w:rPr>
    </w:pPr>
    <w:r w:rsidRPr="00B07845">
      <w:rPr>
        <w:rFonts w:cs="Arial"/>
        <w:bCs/>
        <w:sz w:val="22"/>
      </w:rPr>
      <w:t>Consejer</w:t>
    </w:r>
    <w:r>
      <w:rPr>
        <w:rFonts w:cs="Arial"/>
        <w:bCs/>
        <w:sz w:val="22"/>
      </w:rPr>
      <w:t>a</w:t>
    </w:r>
    <w:r w:rsidRPr="00B07845">
      <w:rPr>
        <w:rFonts w:cs="Arial"/>
        <w:bCs/>
        <w:sz w:val="22"/>
      </w:rPr>
      <w:t xml:space="preserve"> ponente: </w:t>
    </w:r>
    <w:r>
      <w:rPr>
        <w:rFonts w:cs="Arial"/>
        <w:bCs/>
        <w:sz w:val="22"/>
      </w:rPr>
      <w:t>María del Pilar Bahamón Falla</w:t>
    </w:r>
    <w:r w:rsidRPr="00E7463F">
      <w:rPr>
        <w:rFonts w:cs="Arial"/>
        <w:b/>
        <w:bCs/>
        <w:sz w:val="22"/>
      </w:rPr>
      <w:t xml:space="preserve">   </w:t>
    </w:r>
  </w:p>
  <w:p w:rsidRPr="00366CFE" w:rsidR="001338AE" w:rsidP="003541FE" w:rsidRDefault="001338AE" w14:paraId="1CE5ABCB" w14:textId="77777777">
    <w:pPr>
      <w:pStyle w:val="Encabezado"/>
      <w:pBdr>
        <w:bottom w:val="thickThinSmallGap" w:color="622423" w:sz="24" w:space="0"/>
      </w:pBdr>
      <w:jc w:val="center"/>
      <w:rPr>
        <w:rStyle w:val="Referenciasutil"/>
        <w:lang w:val="es-CO"/>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E7A"/>
    <w:multiLevelType w:val="hybridMultilevel"/>
    <w:tmpl w:val="6B02B5DE"/>
    <w:lvl w:ilvl="0" w:tplc="240A000F">
      <w:start w:val="1"/>
      <w:numFmt w:val="decimal"/>
      <w:lvlText w:val="%1."/>
      <w:lvlJc w:val="left"/>
      <w:pPr>
        <w:ind w:left="720" w:hanging="360"/>
      </w:pPr>
    </w:lvl>
    <w:lvl w:ilvl="1" w:tplc="639E177A">
      <w:start w:val="1"/>
      <w:numFmt w:val="lowerLetter"/>
      <w:lvlText w:val="%2."/>
      <w:lvlJc w:val="left"/>
      <w:pPr>
        <w:ind w:left="1440" w:hanging="360"/>
      </w:pPr>
    </w:lvl>
    <w:lvl w:ilvl="2" w:tplc="A39ABA32">
      <w:start w:val="1"/>
      <w:numFmt w:val="lowerRoman"/>
      <w:lvlText w:val="%3)"/>
      <w:lvlJc w:val="left"/>
      <w:pPr>
        <w:ind w:left="2700" w:hanging="720"/>
      </w:pPr>
      <w:rPr>
        <w:i/>
        <w:iCs/>
      </w:r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26805BD"/>
    <w:multiLevelType w:val="multilevel"/>
    <w:tmpl w:val="8AA421EC"/>
    <w:lvl w:ilvl="0">
      <w:start w:val="1"/>
      <w:numFmt w:val="upperRoman"/>
      <w:lvlText w:val="%1."/>
      <w:lvlJc w:val="left"/>
      <w:pPr>
        <w:ind w:left="1080" w:hanging="720"/>
      </w:pPr>
      <w:rPr>
        <w:rFonts w:hint="default"/>
        <w:lang w:val="es-MX"/>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E050A52"/>
    <w:multiLevelType w:val="hybridMultilevel"/>
    <w:tmpl w:val="914CA304"/>
    <w:lvl w:ilvl="0" w:tplc="773A6A8E">
      <w:start w:val="1"/>
      <w:numFmt w:val="decimal"/>
      <w:lvlText w:val="%1."/>
      <w:lvlJc w:val="left"/>
      <w:pPr>
        <w:ind w:left="720" w:hanging="360"/>
      </w:pPr>
      <w:rPr>
        <w:rFonts w:hint="default" w:ascii="Arial" w:hAnsi="Arial" w:cs="Arial"/>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921A7"/>
    <w:multiLevelType w:val="hybridMultilevel"/>
    <w:tmpl w:val="B8226F56"/>
    <w:lvl w:ilvl="0" w:tplc="905CC1A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53A79CD"/>
    <w:multiLevelType w:val="multilevel"/>
    <w:tmpl w:val="16AC480C"/>
    <w:lvl w:ilvl="0">
      <w:start w:val="8"/>
      <w:numFmt w:val="decimal"/>
      <w:lvlText w:val="%1."/>
      <w:lvlJc w:val="left"/>
      <w:pPr>
        <w:ind w:left="408" w:hanging="408"/>
      </w:pPr>
      <w:rPr>
        <w:rFonts w:hint="default"/>
      </w:rPr>
    </w:lvl>
    <w:lvl w:ilvl="1">
      <w:start w:val="1"/>
      <w:numFmt w:val="decimal"/>
      <w:lvlText w:val="%1.%2."/>
      <w:lvlJc w:val="left"/>
      <w:pPr>
        <w:ind w:left="1128" w:hanging="720"/>
      </w:pPr>
      <w:rPr>
        <w:rFonts w:hint="default" w:ascii="Arial" w:hAnsi="Arial" w:cs="Arial"/>
        <w:sz w:val="24"/>
        <w:szCs w:val="24"/>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5" w15:restartNumberingAfterBreak="0">
    <w:nsid w:val="1E5725E0"/>
    <w:multiLevelType w:val="multilevel"/>
    <w:tmpl w:val="5EAC4726"/>
    <w:lvl w:ilvl="0">
      <w:start w:val="3"/>
      <w:numFmt w:val="decimal"/>
      <w:lvlText w:val="%1."/>
      <w:lvlJc w:val="left"/>
      <w:pPr>
        <w:ind w:left="705" w:hanging="705"/>
      </w:pPr>
      <w:rPr>
        <w:rFonts w:hint="default" w:ascii="Arial" w:hAnsi="Arial" w:cs="Arial"/>
        <w:b/>
        <w:bCs/>
        <w:sz w:val="24"/>
        <w:szCs w:val="24"/>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5D351DC"/>
    <w:multiLevelType w:val="multilevel"/>
    <w:tmpl w:val="50A643F4"/>
    <w:lvl w:ilvl="0">
      <w:start w:val="8"/>
      <w:numFmt w:val="decimal"/>
      <w:lvlText w:val="%1."/>
      <w:lvlJc w:val="left"/>
      <w:pPr>
        <w:ind w:left="408" w:hanging="408"/>
      </w:pPr>
      <w:rPr>
        <w:rFonts w:hint="default"/>
      </w:rPr>
    </w:lvl>
    <w:lvl w:ilvl="1">
      <w:start w:val="4"/>
      <w:numFmt w:val="decimal"/>
      <w:lvlText w:val="%1.%2."/>
      <w:lvlJc w:val="left"/>
      <w:pPr>
        <w:ind w:left="1128" w:hanging="720"/>
      </w:pPr>
      <w:rPr>
        <w:rFonts w:hint="default"/>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7" w15:restartNumberingAfterBreak="0">
    <w:nsid w:val="29850C34"/>
    <w:multiLevelType w:val="hybridMultilevel"/>
    <w:tmpl w:val="FE8E58D2"/>
    <w:lvl w:ilvl="0" w:tplc="5BD2FD46">
      <w:start w:val="7"/>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7AA2EE2"/>
    <w:multiLevelType w:val="hybridMultilevel"/>
    <w:tmpl w:val="266A1CB6"/>
    <w:lvl w:ilvl="0" w:tplc="EC5E9344">
      <w:start w:val="1"/>
      <w:numFmt w:val="lowerRoman"/>
      <w:lvlText w:val="%1)"/>
      <w:lvlJc w:val="left"/>
      <w:pPr>
        <w:ind w:left="1080" w:hanging="72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D081E00"/>
    <w:multiLevelType w:val="hybridMultilevel"/>
    <w:tmpl w:val="00FAEE22"/>
    <w:lvl w:ilvl="0" w:tplc="1ECE307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F4750C2"/>
    <w:multiLevelType w:val="hybridMultilevel"/>
    <w:tmpl w:val="2A60EC62"/>
    <w:lvl w:ilvl="0" w:tplc="0962653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03C44D5"/>
    <w:multiLevelType w:val="hybridMultilevel"/>
    <w:tmpl w:val="5532B2BA"/>
    <w:lvl w:ilvl="0" w:tplc="1B04D49C">
      <w:start w:val="1"/>
      <w:numFmt w:val="lowerLetter"/>
      <w:lvlText w:val="%1)"/>
      <w:lvlJc w:val="left"/>
      <w:pPr>
        <w:ind w:left="720" w:hanging="360"/>
      </w:pPr>
      <w:rPr>
        <w:rFonts w:hint="default"/>
        <w:b w:val="0"/>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52914A4C"/>
    <w:multiLevelType w:val="hybridMultilevel"/>
    <w:tmpl w:val="2CC4B1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62EF3"/>
    <w:multiLevelType w:val="hybridMultilevel"/>
    <w:tmpl w:val="CF0A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C32F5"/>
    <w:multiLevelType w:val="hybridMultilevel"/>
    <w:tmpl w:val="09EE2EE8"/>
    <w:lvl w:ilvl="0" w:tplc="988CD562">
      <w:start w:val="1"/>
      <w:numFmt w:val="lowerLetter"/>
      <w:lvlText w:val="%1."/>
      <w:lvlJc w:val="left"/>
      <w:pPr>
        <w:ind w:left="107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5" w15:restartNumberingAfterBreak="0">
    <w:nsid w:val="6A7E4293"/>
    <w:multiLevelType w:val="multilevel"/>
    <w:tmpl w:val="F420EF3A"/>
    <w:lvl w:ilvl="0">
      <w:start w:val="3"/>
      <w:numFmt w:val="decimal"/>
      <w:lvlText w:val="%1."/>
      <w:lvlJc w:val="left"/>
      <w:pPr>
        <w:ind w:left="400" w:hanging="40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C95647E"/>
    <w:multiLevelType w:val="hybridMultilevel"/>
    <w:tmpl w:val="0AEEB79A"/>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2FA4180"/>
    <w:multiLevelType w:val="hybridMultilevel"/>
    <w:tmpl w:val="23421634"/>
    <w:lvl w:ilvl="0" w:tplc="F68032B2">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261EFD"/>
    <w:multiLevelType w:val="hybridMultilevel"/>
    <w:tmpl w:val="FEA461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A0F51BC"/>
    <w:multiLevelType w:val="hybridMultilevel"/>
    <w:tmpl w:val="DDD24E42"/>
    <w:lvl w:ilvl="0" w:tplc="4D6443A0">
      <w:start w:val="1"/>
      <w:numFmt w:val="decimal"/>
      <w:lvlText w:val="%1)"/>
      <w:lvlJc w:val="left"/>
      <w:pPr>
        <w:ind w:left="6314" w:hanging="360"/>
      </w:pPr>
      <w:rPr>
        <w:rFonts w:hint="default"/>
      </w:rPr>
    </w:lvl>
    <w:lvl w:ilvl="1" w:tplc="080A0019" w:tentative="1">
      <w:start w:val="1"/>
      <w:numFmt w:val="lowerLetter"/>
      <w:lvlText w:val="%2."/>
      <w:lvlJc w:val="left"/>
      <w:pPr>
        <w:ind w:left="7034" w:hanging="360"/>
      </w:pPr>
    </w:lvl>
    <w:lvl w:ilvl="2" w:tplc="080A001B" w:tentative="1">
      <w:start w:val="1"/>
      <w:numFmt w:val="lowerRoman"/>
      <w:lvlText w:val="%3."/>
      <w:lvlJc w:val="right"/>
      <w:pPr>
        <w:ind w:left="7754" w:hanging="180"/>
      </w:pPr>
    </w:lvl>
    <w:lvl w:ilvl="3" w:tplc="080A000F" w:tentative="1">
      <w:start w:val="1"/>
      <w:numFmt w:val="decimal"/>
      <w:lvlText w:val="%4."/>
      <w:lvlJc w:val="left"/>
      <w:pPr>
        <w:ind w:left="8474" w:hanging="360"/>
      </w:pPr>
    </w:lvl>
    <w:lvl w:ilvl="4" w:tplc="080A0019" w:tentative="1">
      <w:start w:val="1"/>
      <w:numFmt w:val="lowerLetter"/>
      <w:lvlText w:val="%5."/>
      <w:lvlJc w:val="left"/>
      <w:pPr>
        <w:ind w:left="9194" w:hanging="360"/>
      </w:pPr>
    </w:lvl>
    <w:lvl w:ilvl="5" w:tplc="080A001B" w:tentative="1">
      <w:start w:val="1"/>
      <w:numFmt w:val="lowerRoman"/>
      <w:lvlText w:val="%6."/>
      <w:lvlJc w:val="right"/>
      <w:pPr>
        <w:ind w:left="9914" w:hanging="180"/>
      </w:pPr>
    </w:lvl>
    <w:lvl w:ilvl="6" w:tplc="080A000F" w:tentative="1">
      <w:start w:val="1"/>
      <w:numFmt w:val="decimal"/>
      <w:lvlText w:val="%7."/>
      <w:lvlJc w:val="left"/>
      <w:pPr>
        <w:ind w:left="10634" w:hanging="360"/>
      </w:pPr>
    </w:lvl>
    <w:lvl w:ilvl="7" w:tplc="080A0019" w:tentative="1">
      <w:start w:val="1"/>
      <w:numFmt w:val="lowerLetter"/>
      <w:lvlText w:val="%8."/>
      <w:lvlJc w:val="left"/>
      <w:pPr>
        <w:ind w:left="11354" w:hanging="360"/>
      </w:pPr>
    </w:lvl>
    <w:lvl w:ilvl="8" w:tplc="080A001B" w:tentative="1">
      <w:start w:val="1"/>
      <w:numFmt w:val="lowerRoman"/>
      <w:lvlText w:val="%9."/>
      <w:lvlJc w:val="right"/>
      <w:pPr>
        <w:ind w:left="12074" w:hanging="180"/>
      </w:pPr>
    </w:lvl>
  </w:abstractNum>
  <w:abstractNum w:abstractNumId="20" w15:restartNumberingAfterBreak="0">
    <w:nsid w:val="7AE87C86"/>
    <w:multiLevelType w:val="hybridMultilevel"/>
    <w:tmpl w:val="34ECA864"/>
    <w:lvl w:ilvl="0" w:tplc="9D565832">
      <w:start w:val="1"/>
      <w:numFmt w:val="lowerRoman"/>
      <w:lvlText w:val="%1)"/>
      <w:lvlJc w:val="left"/>
      <w:pPr>
        <w:ind w:left="1068" w:hanging="360"/>
      </w:pPr>
      <w:rPr>
        <w:i/>
        <w:iCs/>
      </w:rPr>
    </w:lvl>
    <w:lvl w:ilvl="1" w:tplc="040A0019">
      <w:start w:val="1"/>
      <w:numFmt w:val="lowerLetter"/>
      <w:lvlText w:val="%2."/>
      <w:lvlJc w:val="left"/>
      <w:pPr>
        <w:ind w:left="168" w:hanging="360"/>
      </w:pPr>
    </w:lvl>
    <w:lvl w:ilvl="2" w:tplc="040A001B">
      <w:start w:val="1"/>
      <w:numFmt w:val="lowerRoman"/>
      <w:lvlText w:val="%3."/>
      <w:lvlJc w:val="right"/>
      <w:pPr>
        <w:ind w:left="888" w:hanging="180"/>
      </w:pPr>
    </w:lvl>
    <w:lvl w:ilvl="3" w:tplc="040A000F">
      <w:start w:val="1"/>
      <w:numFmt w:val="decimal"/>
      <w:lvlText w:val="%4."/>
      <w:lvlJc w:val="left"/>
      <w:pPr>
        <w:ind w:left="1608" w:hanging="360"/>
      </w:pPr>
    </w:lvl>
    <w:lvl w:ilvl="4" w:tplc="040A0019">
      <w:start w:val="1"/>
      <w:numFmt w:val="lowerLetter"/>
      <w:lvlText w:val="%5."/>
      <w:lvlJc w:val="left"/>
      <w:pPr>
        <w:ind w:left="2328" w:hanging="360"/>
      </w:pPr>
    </w:lvl>
    <w:lvl w:ilvl="5" w:tplc="040A001B">
      <w:start w:val="1"/>
      <w:numFmt w:val="lowerRoman"/>
      <w:lvlText w:val="%6."/>
      <w:lvlJc w:val="right"/>
      <w:pPr>
        <w:ind w:left="3048" w:hanging="180"/>
      </w:pPr>
    </w:lvl>
    <w:lvl w:ilvl="6" w:tplc="040A000F">
      <w:start w:val="1"/>
      <w:numFmt w:val="decimal"/>
      <w:lvlText w:val="%7."/>
      <w:lvlJc w:val="left"/>
      <w:pPr>
        <w:ind w:left="3768" w:hanging="360"/>
      </w:pPr>
    </w:lvl>
    <w:lvl w:ilvl="7" w:tplc="040A0019">
      <w:start w:val="1"/>
      <w:numFmt w:val="lowerLetter"/>
      <w:lvlText w:val="%8."/>
      <w:lvlJc w:val="left"/>
      <w:pPr>
        <w:ind w:left="4488" w:hanging="360"/>
      </w:pPr>
    </w:lvl>
    <w:lvl w:ilvl="8" w:tplc="040A001B">
      <w:start w:val="1"/>
      <w:numFmt w:val="lowerRoman"/>
      <w:lvlText w:val="%9."/>
      <w:lvlJc w:val="right"/>
      <w:pPr>
        <w:ind w:left="5208"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2"/>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4"/>
  </w:num>
  <w:num w:numId="10">
    <w:abstractNumId w:val="6"/>
  </w:num>
  <w:num w:numId="11">
    <w:abstractNumId w:val="3"/>
  </w:num>
  <w:num w:numId="12">
    <w:abstractNumId w:val="12"/>
  </w:num>
  <w:num w:numId="13">
    <w:abstractNumId w:val="9"/>
  </w:num>
  <w:num w:numId="14">
    <w:abstractNumId w:val="0"/>
  </w:num>
  <w:num w:numId="15">
    <w:abstractNumId w:val="16"/>
  </w:num>
  <w:num w:numId="16">
    <w:abstractNumId w:val="10"/>
  </w:num>
  <w:num w:numId="17">
    <w:abstractNumId w:val="19"/>
  </w:num>
  <w:num w:numId="18">
    <w:abstractNumId w:val="1"/>
  </w:num>
  <w:num w:numId="19">
    <w:abstractNumId w:val="5"/>
  </w:num>
  <w:num w:numId="20">
    <w:abstractNumId w:val="11"/>
  </w:num>
  <w:num w:numId="21">
    <w:abstractNumId w:val="13"/>
  </w:num>
  <w:num w:numId="22">
    <w:abstractNumId w:val="17"/>
  </w:num>
  <w:num w:numId="23">
    <w:abstractNumId w:val="18"/>
  </w:num>
  <w:numIdMacAtCleanup w:val="1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5"/>
  <w:trackRevisions w:val="false"/>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6989"/>
    <w:rsid w:val="000016DC"/>
    <w:rsid w:val="0000321D"/>
    <w:rsid w:val="000042F2"/>
    <w:rsid w:val="00005C01"/>
    <w:rsid w:val="00005C47"/>
    <w:rsid w:val="000075BC"/>
    <w:rsid w:val="000110A3"/>
    <w:rsid w:val="0001356E"/>
    <w:rsid w:val="00014330"/>
    <w:rsid w:val="0001496A"/>
    <w:rsid w:val="00014F0E"/>
    <w:rsid w:val="00016E63"/>
    <w:rsid w:val="00016F9F"/>
    <w:rsid w:val="00017C9B"/>
    <w:rsid w:val="00021EDD"/>
    <w:rsid w:val="000220F9"/>
    <w:rsid w:val="00023D7D"/>
    <w:rsid w:val="000240D7"/>
    <w:rsid w:val="00024A7A"/>
    <w:rsid w:val="00025FB0"/>
    <w:rsid w:val="0002699D"/>
    <w:rsid w:val="00026B63"/>
    <w:rsid w:val="00031622"/>
    <w:rsid w:val="00034373"/>
    <w:rsid w:val="000353A4"/>
    <w:rsid w:val="000360C0"/>
    <w:rsid w:val="00040F5B"/>
    <w:rsid w:val="000453D6"/>
    <w:rsid w:val="00045C74"/>
    <w:rsid w:val="00046A31"/>
    <w:rsid w:val="00051B10"/>
    <w:rsid w:val="00056D84"/>
    <w:rsid w:val="00057AE1"/>
    <w:rsid w:val="000634BF"/>
    <w:rsid w:val="00064232"/>
    <w:rsid w:val="0006556C"/>
    <w:rsid w:val="00066C9C"/>
    <w:rsid w:val="000709F5"/>
    <w:rsid w:val="0007312D"/>
    <w:rsid w:val="00075212"/>
    <w:rsid w:val="0007624E"/>
    <w:rsid w:val="00084229"/>
    <w:rsid w:val="000858C2"/>
    <w:rsid w:val="00085E06"/>
    <w:rsid w:val="00086CDD"/>
    <w:rsid w:val="000875DB"/>
    <w:rsid w:val="0009064A"/>
    <w:rsid w:val="00090EC1"/>
    <w:rsid w:val="000939D1"/>
    <w:rsid w:val="00094E2E"/>
    <w:rsid w:val="0009692A"/>
    <w:rsid w:val="000A234A"/>
    <w:rsid w:val="000A2630"/>
    <w:rsid w:val="000A3560"/>
    <w:rsid w:val="000A383A"/>
    <w:rsid w:val="000A46F3"/>
    <w:rsid w:val="000A6F55"/>
    <w:rsid w:val="000B5B68"/>
    <w:rsid w:val="000B5D27"/>
    <w:rsid w:val="000B7756"/>
    <w:rsid w:val="000B79B1"/>
    <w:rsid w:val="000C1B5B"/>
    <w:rsid w:val="000C1D89"/>
    <w:rsid w:val="000C3FF8"/>
    <w:rsid w:val="000C45DE"/>
    <w:rsid w:val="000C79AB"/>
    <w:rsid w:val="000D0FE3"/>
    <w:rsid w:val="000D1876"/>
    <w:rsid w:val="000D42B7"/>
    <w:rsid w:val="000D479A"/>
    <w:rsid w:val="000D500D"/>
    <w:rsid w:val="000D634F"/>
    <w:rsid w:val="000D7A78"/>
    <w:rsid w:val="000E0E84"/>
    <w:rsid w:val="000E40D8"/>
    <w:rsid w:val="000E455D"/>
    <w:rsid w:val="000F21D2"/>
    <w:rsid w:val="000F2B77"/>
    <w:rsid w:val="000F3034"/>
    <w:rsid w:val="000F410B"/>
    <w:rsid w:val="000F6587"/>
    <w:rsid w:val="000F711E"/>
    <w:rsid w:val="00106795"/>
    <w:rsid w:val="00107080"/>
    <w:rsid w:val="001109D5"/>
    <w:rsid w:val="00110A21"/>
    <w:rsid w:val="00110E84"/>
    <w:rsid w:val="0011314A"/>
    <w:rsid w:val="00114A90"/>
    <w:rsid w:val="001176B9"/>
    <w:rsid w:val="00120514"/>
    <w:rsid w:val="00122B16"/>
    <w:rsid w:val="00123A60"/>
    <w:rsid w:val="00123B34"/>
    <w:rsid w:val="00132A21"/>
    <w:rsid w:val="00132B0B"/>
    <w:rsid w:val="001338AE"/>
    <w:rsid w:val="00133993"/>
    <w:rsid w:val="001348F7"/>
    <w:rsid w:val="0013578A"/>
    <w:rsid w:val="0013583E"/>
    <w:rsid w:val="00135C75"/>
    <w:rsid w:val="001368A5"/>
    <w:rsid w:val="001450FD"/>
    <w:rsid w:val="001464DE"/>
    <w:rsid w:val="00151FED"/>
    <w:rsid w:val="001520AF"/>
    <w:rsid w:val="00154D6F"/>
    <w:rsid w:val="00154EB5"/>
    <w:rsid w:val="00160C42"/>
    <w:rsid w:val="0016469F"/>
    <w:rsid w:val="001668FF"/>
    <w:rsid w:val="00167D69"/>
    <w:rsid w:val="00170B89"/>
    <w:rsid w:val="00171C92"/>
    <w:rsid w:val="00172F22"/>
    <w:rsid w:val="001730AC"/>
    <w:rsid w:val="00175917"/>
    <w:rsid w:val="001776CC"/>
    <w:rsid w:val="001812FB"/>
    <w:rsid w:val="00191193"/>
    <w:rsid w:val="00191B98"/>
    <w:rsid w:val="00192BAA"/>
    <w:rsid w:val="00193160"/>
    <w:rsid w:val="00194845"/>
    <w:rsid w:val="001A0CE0"/>
    <w:rsid w:val="001A1D1D"/>
    <w:rsid w:val="001A4EAB"/>
    <w:rsid w:val="001A72C8"/>
    <w:rsid w:val="001B0F60"/>
    <w:rsid w:val="001B4574"/>
    <w:rsid w:val="001B4CB1"/>
    <w:rsid w:val="001B518C"/>
    <w:rsid w:val="001B59DA"/>
    <w:rsid w:val="001B5A2E"/>
    <w:rsid w:val="001B7E19"/>
    <w:rsid w:val="001C024B"/>
    <w:rsid w:val="001C03B8"/>
    <w:rsid w:val="001C30FC"/>
    <w:rsid w:val="001C435E"/>
    <w:rsid w:val="001C4B80"/>
    <w:rsid w:val="001C6C2A"/>
    <w:rsid w:val="001C7D09"/>
    <w:rsid w:val="001D160A"/>
    <w:rsid w:val="001D3342"/>
    <w:rsid w:val="001D3950"/>
    <w:rsid w:val="001D4D4F"/>
    <w:rsid w:val="001D5A25"/>
    <w:rsid w:val="001D6C42"/>
    <w:rsid w:val="001D6D43"/>
    <w:rsid w:val="001D7E78"/>
    <w:rsid w:val="001E30D1"/>
    <w:rsid w:val="001E418E"/>
    <w:rsid w:val="001E56B9"/>
    <w:rsid w:val="001E5D4F"/>
    <w:rsid w:val="001E66BD"/>
    <w:rsid w:val="001F223F"/>
    <w:rsid w:val="001F292A"/>
    <w:rsid w:val="001F3B62"/>
    <w:rsid w:val="001F4A9A"/>
    <w:rsid w:val="001F4D05"/>
    <w:rsid w:val="001F4D21"/>
    <w:rsid w:val="00201D7E"/>
    <w:rsid w:val="00205052"/>
    <w:rsid w:val="00210C48"/>
    <w:rsid w:val="00212166"/>
    <w:rsid w:val="0021339F"/>
    <w:rsid w:val="002142F1"/>
    <w:rsid w:val="00214C66"/>
    <w:rsid w:val="00215AC0"/>
    <w:rsid w:val="00220EDE"/>
    <w:rsid w:val="00224D21"/>
    <w:rsid w:val="0022531E"/>
    <w:rsid w:val="00227981"/>
    <w:rsid w:val="0023031F"/>
    <w:rsid w:val="00230D70"/>
    <w:rsid w:val="00231DA1"/>
    <w:rsid w:val="00233D84"/>
    <w:rsid w:val="0023519E"/>
    <w:rsid w:val="00236074"/>
    <w:rsid w:val="002366E2"/>
    <w:rsid w:val="0023695C"/>
    <w:rsid w:val="002369C7"/>
    <w:rsid w:val="002377EF"/>
    <w:rsid w:val="002418E5"/>
    <w:rsid w:val="00243FC0"/>
    <w:rsid w:val="00246A33"/>
    <w:rsid w:val="00246E23"/>
    <w:rsid w:val="00247C89"/>
    <w:rsid w:val="002504DF"/>
    <w:rsid w:val="0025190F"/>
    <w:rsid w:val="00251BA5"/>
    <w:rsid w:val="002606AF"/>
    <w:rsid w:val="002668F8"/>
    <w:rsid w:val="00266A5E"/>
    <w:rsid w:val="00266DFF"/>
    <w:rsid w:val="00270A26"/>
    <w:rsid w:val="00272E4B"/>
    <w:rsid w:val="00274F1F"/>
    <w:rsid w:val="00275554"/>
    <w:rsid w:val="002848CC"/>
    <w:rsid w:val="00284F7D"/>
    <w:rsid w:val="0028505B"/>
    <w:rsid w:val="00291008"/>
    <w:rsid w:val="002920C9"/>
    <w:rsid w:val="0029211F"/>
    <w:rsid w:val="00292E6F"/>
    <w:rsid w:val="00293621"/>
    <w:rsid w:val="00295A5A"/>
    <w:rsid w:val="002A07CF"/>
    <w:rsid w:val="002A22AF"/>
    <w:rsid w:val="002A2485"/>
    <w:rsid w:val="002A31CA"/>
    <w:rsid w:val="002A3AA6"/>
    <w:rsid w:val="002A6B54"/>
    <w:rsid w:val="002B2D8D"/>
    <w:rsid w:val="002B5B00"/>
    <w:rsid w:val="002C0BE6"/>
    <w:rsid w:val="002C0E22"/>
    <w:rsid w:val="002C12C5"/>
    <w:rsid w:val="002C179E"/>
    <w:rsid w:val="002C2C19"/>
    <w:rsid w:val="002C3985"/>
    <w:rsid w:val="002C44D0"/>
    <w:rsid w:val="002C575B"/>
    <w:rsid w:val="002C5BF9"/>
    <w:rsid w:val="002C6347"/>
    <w:rsid w:val="002C70B2"/>
    <w:rsid w:val="002C7EC3"/>
    <w:rsid w:val="002D0124"/>
    <w:rsid w:val="002D09F7"/>
    <w:rsid w:val="002D0A40"/>
    <w:rsid w:val="002D0CF3"/>
    <w:rsid w:val="002D1F7E"/>
    <w:rsid w:val="002D37F0"/>
    <w:rsid w:val="002D3D7F"/>
    <w:rsid w:val="002D4E62"/>
    <w:rsid w:val="002D6C42"/>
    <w:rsid w:val="002E2008"/>
    <w:rsid w:val="002E220A"/>
    <w:rsid w:val="002E45D2"/>
    <w:rsid w:val="002E5D70"/>
    <w:rsid w:val="002F04CC"/>
    <w:rsid w:val="002F07FC"/>
    <w:rsid w:val="002F1B3F"/>
    <w:rsid w:val="002F26F7"/>
    <w:rsid w:val="002F2CB3"/>
    <w:rsid w:val="002F2EB3"/>
    <w:rsid w:val="002F5803"/>
    <w:rsid w:val="00303353"/>
    <w:rsid w:val="0030351D"/>
    <w:rsid w:val="0030726D"/>
    <w:rsid w:val="003073CD"/>
    <w:rsid w:val="00311253"/>
    <w:rsid w:val="00311AD8"/>
    <w:rsid w:val="00311EB1"/>
    <w:rsid w:val="00313987"/>
    <w:rsid w:val="0031518E"/>
    <w:rsid w:val="00315A10"/>
    <w:rsid w:val="00316097"/>
    <w:rsid w:val="00317480"/>
    <w:rsid w:val="003227C1"/>
    <w:rsid w:val="00326BCD"/>
    <w:rsid w:val="003305F3"/>
    <w:rsid w:val="00331352"/>
    <w:rsid w:val="003314F8"/>
    <w:rsid w:val="003329A5"/>
    <w:rsid w:val="00334A0E"/>
    <w:rsid w:val="00340577"/>
    <w:rsid w:val="00342EFE"/>
    <w:rsid w:val="00344352"/>
    <w:rsid w:val="0034489B"/>
    <w:rsid w:val="00347D66"/>
    <w:rsid w:val="00350045"/>
    <w:rsid w:val="003523F2"/>
    <w:rsid w:val="0035364D"/>
    <w:rsid w:val="003541FE"/>
    <w:rsid w:val="00354348"/>
    <w:rsid w:val="00354988"/>
    <w:rsid w:val="00356DBE"/>
    <w:rsid w:val="003571D0"/>
    <w:rsid w:val="003575DF"/>
    <w:rsid w:val="00361C14"/>
    <w:rsid w:val="00365DA2"/>
    <w:rsid w:val="0036628B"/>
    <w:rsid w:val="00367CAF"/>
    <w:rsid w:val="0037047E"/>
    <w:rsid w:val="00372A9C"/>
    <w:rsid w:val="00372ECF"/>
    <w:rsid w:val="003742EF"/>
    <w:rsid w:val="003747E8"/>
    <w:rsid w:val="003763A3"/>
    <w:rsid w:val="00377E0C"/>
    <w:rsid w:val="00380A1D"/>
    <w:rsid w:val="003859F7"/>
    <w:rsid w:val="00393136"/>
    <w:rsid w:val="00395DB8"/>
    <w:rsid w:val="003A0D33"/>
    <w:rsid w:val="003A36A6"/>
    <w:rsid w:val="003A431C"/>
    <w:rsid w:val="003A4BF5"/>
    <w:rsid w:val="003A6D25"/>
    <w:rsid w:val="003A7FAC"/>
    <w:rsid w:val="003B12D5"/>
    <w:rsid w:val="003B2ED1"/>
    <w:rsid w:val="003B5BA0"/>
    <w:rsid w:val="003C0FF5"/>
    <w:rsid w:val="003C23FC"/>
    <w:rsid w:val="003C26A3"/>
    <w:rsid w:val="003C4D62"/>
    <w:rsid w:val="003C5829"/>
    <w:rsid w:val="003C70F6"/>
    <w:rsid w:val="003C718D"/>
    <w:rsid w:val="003C7C64"/>
    <w:rsid w:val="003D295E"/>
    <w:rsid w:val="003D2E2E"/>
    <w:rsid w:val="003D4805"/>
    <w:rsid w:val="003D5BA9"/>
    <w:rsid w:val="003D6DE2"/>
    <w:rsid w:val="003E0E32"/>
    <w:rsid w:val="003E0ED1"/>
    <w:rsid w:val="003E122F"/>
    <w:rsid w:val="003E4A80"/>
    <w:rsid w:val="003E53B2"/>
    <w:rsid w:val="003E696B"/>
    <w:rsid w:val="003E76B3"/>
    <w:rsid w:val="003F1729"/>
    <w:rsid w:val="003F326B"/>
    <w:rsid w:val="003F5C4C"/>
    <w:rsid w:val="00400367"/>
    <w:rsid w:val="00402931"/>
    <w:rsid w:val="00402F80"/>
    <w:rsid w:val="0040384F"/>
    <w:rsid w:val="00403FBD"/>
    <w:rsid w:val="00405A76"/>
    <w:rsid w:val="0040650C"/>
    <w:rsid w:val="004078AB"/>
    <w:rsid w:val="00411C2D"/>
    <w:rsid w:val="004138CC"/>
    <w:rsid w:val="004142A1"/>
    <w:rsid w:val="00414460"/>
    <w:rsid w:val="004202CD"/>
    <w:rsid w:val="00421347"/>
    <w:rsid w:val="00421B1F"/>
    <w:rsid w:val="004223BE"/>
    <w:rsid w:val="00424B9A"/>
    <w:rsid w:val="0042623C"/>
    <w:rsid w:val="0043111C"/>
    <w:rsid w:val="00437319"/>
    <w:rsid w:val="004376E5"/>
    <w:rsid w:val="00437C06"/>
    <w:rsid w:val="00440092"/>
    <w:rsid w:val="00440789"/>
    <w:rsid w:val="00440871"/>
    <w:rsid w:val="00440B46"/>
    <w:rsid w:val="0044106B"/>
    <w:rsid w:val="004415FC"/>
    <w:rsid w:val="00443275"/>
    <w:rsid w:val="0044713C"/>
    <w:rsid w:val="00450F97"/>
    <w:rsid w:val="0045567F"/>
    <w:rsid w:val="00456A9D"/>
    <w:rsid w:val="004575A6"/>
    <w:rsid w:val="00461E5C"/>
    <w:rsid w:val="00462375"/>
    <w:rsid w:val="004648C2"/>
    <w:rsid w:val="004657C8"/>
    <w:rsid w:val="00467699"/>
    <w:rsid w:val="00470863"/>
    <w:rsid w:val="00473F99"/>
    <w:rsid w:val="00475311"/>
    <w:rsid w:val="004809E6"/>
    <w:rsid w:val="0048537B"/>
    <w:rsid w:val="0048776F"/>
    <w:rsid w:val="00491DFD"/>
    <w:rsid w:val="0049359F"/>
    <w:rsid w:val="00494BCE"/>
    <w:rsid w:val="00494F0C"/>
    <w:rsid w:val="004956CE"/>
    <w:rsid w:val="0049663C"/>
    <w:rsid w:val="004977C0"/>
    <w:rsid w:val="004A7099"/>
    <w:rsid w:val="004B01A5"/>
    <w:rsid w:val="004B05A0"/>
    <w:rsid w:val="004B0F9E"/>
    <w:rsid w:val="004B0FC9"/>
    <w:rsid w:val="004B2669"/>
    <w:rsid w:val="004B57A6"/>
    <w:rsid w:val="004B5877"/>
    <w:rsid w:val="004B62EC"/>
    <w:rsid w:val="004B6367"/>
    <w:rsid w:val="004C0384"/>
    <w:rsid w:val="004C595E"/>
    <w:rsid w:val="004C5CA0"/>
    <w:rsid w:val="004D0B69"/>
    <w:rsid w:val="004D0D26"/>
    <w:rsid w:val="004D3F42"/>
    <w:rsid w:val="004D53D0"/>
    <w:rsid w:val="004D583B"/>
    <w:rsid w:val="004D72C2"/>
    <w:rsid w:val="004D7A78"/>
    <w:rsid w:val="004E3558"/>
    <w:rsid w:val="004E4CB1"/>
    <w:rsid w:val="004E646E"/>
    <w:rsid w:val="004F10C6"/>
    <w:rsid w:val="004F11ED"/>
    <w:rsid w:val="004F2C60"/>
    <w:rsid w:val="004F57E1"/>
    <w:rsid w:val="004F640B"/>
    <w:rsid w:val="004F7310"/>
    <w:rsid w:val="00500EFA"/>
    <w:rsid w:val="0050305F"/>
    <w:rsid w:val="00503176"/>
    <w:rsid w:val="0050495A"/>
    <w:rsid w:val="00504E33"/>
    <w:rsid w:val="00505148"/>
    <w:rsid w:val="005118D3"/>
    <w:rsid w:val="005131D6"/>
    <w:rsid w:val="00513839"/>
    <w:rsid w:val="00514D19"/>
    <w:rsid w:val="00515A0F"/>
    <w:rsid w:val="00530DCF"/>
    <w:rsid w:val="00531846"/>
    <w:rsid w:val="00531D3E"/>
    <w:rsid w:val="00531F6D"/>
    <w:rsid w:val="00533D55"/>
    <w:rsid w:val="00533EDF"/>
    <w:rsid w:val="00535CAF"/>
    <w:rsid w:val="00536540"/>
    <w:rsid w:val="00536FC9"/>
    <w:rsid w:val="0053726F"/>
    <w:rsid w:val="005414CE"/>
    <w:rsid w:val="00544A02"/>
    <w:rsid w:val="00544D59"/>
    <w:rsid w:val="0054553A"/>
    <w:rsid w:val="005465F0"/>
    <w:rsid w:val="005468F6"/>
    <w:rsid w:val="00551C58"/>
    <w:rsid w:val="0055378D"/>
    <w:rsid w:val="00553A79"/>
    <w:rsid w:val="0055554E"/>
    <w:rsid w:val="005568F1"/>
    <w:rsid w:val="00557128"/>
    <w:rsid w:val="00560A61"/>
    <w:rsid w:val="005628D6"/>
    <w:rsid w:val="00565E51"/>
    <w:rsid w:val="00566277"/>
    <w:rsid w:val="0056643B"/>
    <w:rsid w:val="0057013F"/>
    <w:rsid w:val="0057080E"/>
    <w:rsid w:val="005717B0"/>
    <w:rsid w:val="00571EE1"/>
    <w:rsid w:val="005722F8"/>
    <w:rsid w:val="0057349D"/>
    <w:rsid w:val="00573E17"/>
    <w:rsid w:val="00574487"/>
    <w:rsid w:val="005756BC"/>
    <w:rsid w:val="00575767"/>
    <w:rsid w:val="00575C7A"/>
    <w:rsid w:val="00575CF2"/>
    <w:rsid w:val="00580EDA"/>
    <w:rsid w:val="00582FAA"/>
    <w:rsid w:val="00584BFE"/>
    <w:rsid w:val="00585C5C"/>
    <w:rsid w:val="00591E8C"/>
    <w:rsid w:val="00592ACE"/>
    <w:rsid w:val="005937AE"/>
    <w:rsid w:val="00596E93"/>
    <w:rsid w:val="005A0271"/>
    <w:rsid w:val="005A1014"/>
    <w:rsid w:val="005A1040"/>
    <w:rsid w:val="005A2723"/>
    <w:rsid w:val="005A2E8C"/>
    <w:rsid w:val="005A3A8A"/>
    <w:rsid w:val="005A43A8"/>
    <w:rsid w:val="005B0C1F"/>
    <w:rsid w:val="005B2ECB"/>
    <w:rsid w:val="005B4EC4"/>
    <w:rsid w:val="005B52FA"/>
    <w:rsid w:val="005B54DE"/>
    <w:rsid w:val="005B5B3C"/>
    <w:rsid w:val="005C049B"/>
    <w:rsid w:val="005C0F8F"/>
    <w:rsid w:val="005C100D"/>
    <w:rsid w:val="005C1909"/>
    <w:rsid w:val="005C2106"/>
    <w:rsid w:val="005C4B0D"/>
    <w:rsid w:val="005D02BC"/>
    <w:rsid w:val="005D0AA4"/>
    <w:rsid w:val="005D221B"/>
    <w:rsid w:val="005E0222"/>
    <w:rsid w:val="005E104A"/>
    <w:rsid w:val="005E23ED"/>
    <w:rsid w:val="005E2646"/>
    <w:rsid w:val="005E73CA"/>
    <w:rsid w:val="005F2C71"/>
    <w:rsid w:val="005F5897"/>
    <w:rsid w:val="005F7141"/>
    <w:rsid w:val="006048E5"/>
    <w:rsid w:val="00605B71"/>
    <w:rsid w:val="006071EC"/>
    <w:rsid w:val="00610E4D"/>
    <w:rsid w:val="00614334"/>
    <w:rsid w:val="00614D92"/>
    <w:rsid w:val="00615088"/>
    <w:rsid w:val="00615942"/>
    <w:rsid w:val="00617039"/>
    <w:rsid w:val="00617C34"/>
    <w:rsid w:val="00617DAC"/>
    <w:rsid w:val="00622AF8"/>
    <w:rsid w:val="00622FB3"/>
    <w:rsid w:val="00624ECF"/>
    <w:rsid w:val="00631591"/>
    <w:rsid w:val="00632F30"/>
    <w:rsid w:val="00633A54"/>
    <w:rsid w:val="00634318"/>
    <w:rsid w:val="006359BC"/>
    <w:rsid w:val="00635DDA"/>
    <w:rsid w:val="00637918"/>
    <w:rsid w:val="00640106"/>
    <w:rsid w:val="0064148F"/>
    <w:rsid w:val="00641866"/>
    <w:rsid w:val="00641E4C"/>
    <w:rsid w:val="0064260B"/>
    <w:rsid w:val="006426E5"/>
    <w:rsid w:val="00642734"/>
    <w:rsid w:val="0064352C"/>
    <w:rsid w:val="00643FA3"/>
    <w:rsid w:val="0064498F"/>
    <w:rsid w:val="0064658E"/>
    <w:rsid w:val="00650D9C"/>
    <w:rsid w:val="0065474E"/>
    <w:rsid w:val="006549B0"/>
    <w:rsid w:val="00660E73"/>
    <w:rsid w:val="0066165D"/>
    <w:rsid w:val="006632DE"/>
    <w:rsid w:val="00664CA0"/>
    <w:rsid w:val="00665AFE"/>
    <w:rsid w:val="006674D5"/>
    <w:rsid w:val="006707EB"/>
    <w:rsid w:val="006724BE"/>
    <w:rsid w:val="00680779"/>
    <w:rsid w:val="00680F1D"/>
    <w:rsid w:val="006817B9"/>
    <w:rsid w:val="00683411"/>
    <w:rsid w:val="00683A95"/>
    <w:rsid w:val="00685782"/>
    <w:rsid w:val="00686230"/>
    <w:rsid w:val="006918EC"/>
    <w:rsid w:val="00693059"/>
    <w:rsid w:val="00694659"/>
    <w:rsid w:val="006948AA"/>
    <w:rsid w:val="00694A47"/>
    <w:rsid w:val="00695119"/>
    <w:rsid w:val="006951F6"/>
    <w:rsid w:val="006A1C7D"/>
    <w:rsid w:val="006A237F"/>
    <w:rsid w:val="006B3CC8"/>
    <w:rsid w:val="006B59D4"/>
    <w:rsid w:val="006B5F62"/>
    <w:rsid w:val="006B5FBD"/>
    <w:rsid w:val="006B63FC"/>
    <w:rsid w:val="006C12BE"/>
    <w:rsid w:val="006C49DE"/>
    <w:rsid w:val="006C5625"/>
    <w:rsid w:val="006C7762"/>
    <w:rsid w:val="006D31F0"/>
    <w:rsid w:val="006D627D"/>
    <w:rsid w:val="006D70AC"/>
    <w:rsid w:val="006D7139"/>
    <w:rsid w:val="006E2B12"/>
    <w:rsid w:val="006E59B9"/>
    <w:rsid w:val="006E6E20"/>
    <w:rsid w:val="006E6F86"/>
    <w:rsid w:val="006F23BA"/>
    <w:rsid w:val="006F799A"/>
    <w:rsid w:val="006F7FE3"/>
    <w:rsid w:val="0070206A"/>
    <w:rsid w:val="00702320"/>
    <w:rsid w:val="007036EF"/>
    <w:rsid w:val="00705835"/>
    <w:rsid w:val="00706662"/>
    <w:rsid w:val="0071006E"/>
    <w:rsid w:val="00711054"/>
    <w:rsid w:val="00713B9D"/>
    <w:rsid w:val="00716018"/>
    <w:rsid w:val="007207A5"/>
    <w:rsid w:val="00722540"/>
    <w:rsid w:val="00727787"/>
    <w:rsid w:val="00730C43"/>
    <w:rsid w:val="00735135"/>
    <w:rsid w:val="0073770A"/>
    <w:rsid w:val="00740C24"/>
    <w:rsid w:val="0074154C"/>
    <w:rsid w:val="00743663"/>
    <w:rsid w:val="007439B4"/>
    <w:rsid w:val="00745007"/>
    <w:rsid w:val="00746645"/>
    <w:rsid w:val="0075026C"/>
    <w:rsid w:val="00750A7F"/>
    <w:rsid w:val="00751C48"/>
    <w:rsid w:val="00752C52"/>
    <w:rsid w:val="00753BF2"/>
    <w:rsid w:val="00755B93"/>
    <w:rsid w:val="007575AE"/>
    <w:rsid w:val="00757AC6"/>
    <w:rsid w:val="00757F40"/>
    <w:rsid w:val="00761A02"/>
    <w:rsid w:val="00763BA6"/>
    <w:rsid w:val="007641C8"/>
    <w:rsid w:val="00765111"/>
    <w:rsid w:val="00773D52"/>
    <w:rsid w:val="007759C1"/>
    <w:rsid w:val="00776A3A"/>
    <w:rsid w:val="00776CE7"/>
    <w:rsid w:val="0078167C"/>
    <w:rsid w:val="0078189D"/>
    <w:rsid w:val="00783FE4"/>
    <w:rsid w:val="007860C4"/>
    <w:rsid w:val="00786305"/>
    <w:rsid w:val="007914B7"/>
    <w:rsid w:val="00792EBA"/>
    <w:rsid w:val="0079398B"/>
    <w:rsid w:val="00795214"/>
    <w:rsid w:val="007960FB"/>
    <w:rsid w:val="007969A6"/>
    <w:rsid w:val="007A2B81"/>
    <w:rsid w:val="007A56FB"/>
    <w:rsid w:val="007A690A"/>
    <w:rsid w:val="007B2B52"/>
    <w:rsid w:val="007B34D0"/>
    <w:rsid w:val="007B4CE6"/>
    <w:rsid w:val="007B5905"/>
    <w:rsid w:val="007B77B8"/>
    <w:rsid w:val="007C62D0"/>
    <w:rsid w:val="007C63F1"/>
    <w:rsid w:val="007C7CA3"/>
    <w:rsid w:val="007D103D"/>
    <w:rsid w:val="007D12E4"/>
    <w:rsid w:val="007D69B1"/>
    <w:rsid w:val="007D7F77"/>
    <w:rsid w:val="007D7FED"/>
    <w:rsid w:val="007E0632"/>
    <w:rsid w:val="007E0AA0"/>
    <w:rsid w:val="007E18A0"/>
    <w:rsid w:val="007E35FD"/>
    <w:rsid w:val="007E38FB"/>
    <w:rsid w:val="007E48AB"/>
    <w:rsid w:val="007E764C"/>
    <w:rsid w:val="007E7CDC"/>
    <w:rsid w:val="007F0EE9"/>
    <w:rsid w:val="007F405A"/>
    <w:rsid w:val="007F4778"/>
    <w:rsid w:val="007F5DF0"/>
    <w:rsid w:val="007F6888"/>
    <w:rsid w:val="007F6989"/>
    <w:rsid w:val="008012F0"/>
    <w:rsid w:val="00802478"/>
    <w:rsid w:val="00810117"/>
    <w:rsid w:val="008128C9"/>
    <w:rsid w:val="00812F68"/>
    <w:rsid w:val="008151E4"/>
    <w:rsid w:val="00820617"/>
    <w:rsid w:val="00820BBC"/>
    <w:rsid w:val="00821BE0"/>
    <w:rsid w:val="00822A03"/>
    <w:rsid w:val="00824784"/>
    <w:rsid w:val="00826125"/>
    <w:rsid w:val="00826649"/>
    <w:rsid w:val="0082694C"/>
    <w:rsid w:val="0083238B"/>
    <w:rsid w:val="0083288A"/>
    <w:rsid w:val="008342D2"/>
    <w:rsid w:val="00835038"/>
    <w:rsid w:val="00835A0E"/>
    <w:rsid w:val="008369C2"/>
    <w:rsid w:val="008371AD"/>
    <w:rsid w:val="0083783F"/>
    <w:rsid w:val="00840065"/>
    <w:rsid w:val="00840A47"/>
    <w:rsid w:val="00842FEB"/>
    <w:rsid w:val="008467DA"/>
    <w:rsid w:val="008471D1"/>
    <w:rsid w:val="008526EE"/>
    <w:rsid w:val="00852989"/>
    <w:rsid w:val="00854423"/>
    <w:rsid w:val="0085718E"/>
    <w:rsid w:val="00857F0C"/>
    <w:rsid w:val="008623CB"/>
    <w:rsid w:val="00862D8E"/>
    <w:rsid w:val="00862FF0"/>
    <w:rsid w:val="008667D9"/>
    <w:rsid w:val="00866EDA"/>
    <w:rsid w:val="00867A64"/>
    <w:rsid w:val="00870571"/>
    <w:rsid w:val="008706CE"/>
    <w:rsid w:val="008711F8"/>
    <w:rsid w:val="00871786"/>
    <w:rsid w:val="00873FA2"/>
    <w:rsid w:val="008757FC"/>
    <w:rsid w:val="008761B1"/>
    <w:rsid w:val="008777C0"/>
    <w:rsid w:val="008805A1"/>
    <w:rsid w:val="00885743"/>
    <w:rsid w:val="008865BC"/>
    <w:rsid w:val="008A46DE"/>
    <w:rsid w:val="008A4AFC"/>
    <w:rsid w:val="008A724A"/>
    <w:rsid w:val="008B2607"/>
    <w:rsid w:val="008B40B4"/>
    <w:rsid w:val="008B4677"/>
    <w:rsid w:val="008B678F"/>
    <w:rsid w:val="008B75EF"/>
    <w:rsid w:val="008C0C7B"/>
    <w:rsid w:val="008C3ADD"/>
    <w:rsid w:val="008C5072"/>
    <w:rsid w:val="008C5270"/>
    <w:rsid w:val="008C72D0"/>
    <w:rsid w:val="008C76A9"/>
    <w:rsid w:val="008D2306"/>
    <w:rsid w:val="008D2DA2"/>
    <w:rsid w:val="008D7700"/>
    <w:rsid w:val="008E015E"/>
    <w:rsid w:val="008E0456"/>
    <w:rsid w:val="008E06F6"/>
    <w:rsid w:val="008E2470"/>
    <w:rsid w:val="008E4997"/>
    <w:rsid w:val="008E4E18"/>
    <w:rsid w:val="008F21FB"/>
    <w:rsid w:val="008F2686"/>
    <w:rsid w:val="008F6B5D"/>
    <w:rsid w:val="008F6BFB"/>
    <w:rsid w:val="009017C2"/>
    <w:rsid w:val="00901C48"/>
    <w:rsid w:val="00902EDC"/>
    <w:rsid w:val="00903C8A"/>
    <w:rsid w:val="009040A6"/>
    <w:rsid w:val="00905692"/>
    <w:rsid w:val="0090629B"/>
    <w:rsid w:val="00906A1F"/>
    <w:rsid w:val="00906D11"/>
    <w:rsid w:val="0091407F"/>
    <w:rsid w:val="009204BA"/>
    <w:rsid w:val="00924081"/>
    <w:rsid w:val="0092690D"/>
    <w:rsid w:val="009311DA"/>
    <w:rsid w:val="0093217D"/>
    <w:rsid w:val="00932653"/>
    <w:rsid w:val="009326EA"/>
    <w:rsid w:val="00932AEA"/>
    <w:rsid w:val="00935E3C"/>
    <w:rsid w:val="00937699"/>
    <w:rsid w:val="0094022B"/>
    <w:rsid w:val="00943F95"/>
    <w:rsid w:val="00945AA0"/>
    <w:rsid w:val="00951068"/>
    <w:rsid w:val="00952EEA"/>
    <w:rsid w:val="00953670"/>
    <w:rsid w:val="00953780"/>
    <w:rsid w:val="009542F0"/>
    <w:rsid w:val="009567BC"/>
    <w:rsid w:val="00956C8E"/>
    <w:rsid w:val="009600B5"/>
    <w:rsid w:val="00964EE4"/>
    <w:rsid w:val="00966BF3"/>
    <w:rsid w:val="0096763D"/>
    <w:rsid w:val="00971ACA"/>
    <w:rsid w:val="00974404"/>
    <w:rsid w:val="00974C91"/>
    <w:rsid w:val="00975164"/>
    <w:rsid w:val="009803CB"/>
    <w:rsid w:val="0098217A"/>
    <w:rsid w:val="009829B4"/>
    <w:rsid w:val="009834AD"/>
    <w:rsid w:val="00984DCC"/>
    <w:rsid w:val="0098532D"/>
    <w:rsid w:val="009860F8"/>
    <w:rsid w:val="009901F9"/>
    <w:rsid w:val="0099059F"/>
    <w:rsid w:val="00990C72"/>
    <w:rsid w:val="00990E87"/>
    <w:rsid w:val="00993847"/>
    <w:rsid w:val="00994192"/>
    <w:rsid w:val="0099602B"/>
    <w:rsid w:val="009A1549"/>
    <w:rsid w:val="009A43A4"/>
    <w:rsid w:val="009A479A"/>
    <w:rsid w:val="009A7B30"/>
    <w:rsid w:val="009A7B83"/>
    <w:rsid w:val="009B0633"/>
    <w:rsid w:val="009B246C"/>
    <w:rsid w:val="009B2625"/>
    <w:rsid w:val="009B4432"/>
    <w:rsid w:val="009B783D"/>
    <w:rsid w:val="009C053B"/>
    <w:rsid w:val="009C17A2"/>
    <w:rsid w:val="009C390A"/>
    <w:rsid w:val="009C3AAB"/>
    <w:rsid w:val="009C6195"/>
    <w:rsid w:val="009D093C"/>
    <w:rsid w:val="009D15FF"/>
    <w:rsid w:val="009D1E49"/>
    <w:rsid w:val="009D69BB"/>
    <w:rsid w:val="009E0130"/>
    <w:rsid w:val="009E1356"/>
    <w:rsid w:val="009E1B40"/>
    <w:rsid w:val="009E36A3"/>
    <w:rsid w:val="009E4650"/>
    <w:rsid w:val="009E5980"/>
    <w:rsid w:val="009E5CD7"/>
    <w:rsid w:val="009F23BA"/>
    <w:rsid w:val="009F4CE3"/>
    <w:rsid w:val="009F6A69"/>
    <w:rsid w:val="00A00E5E"/>
    <w:rsid w:val="00A0727E"/>
    <w:rsid w:val="00A07A85"/>
    <w:rsid w:val="00A1087A"/>
    <w:rsid w:val="00A11F3F"/>
    <w:rsid w:val="00A12B19"/>
    <w:rsid w:val="00A13F0E"/>
    <w:rsid w:val="00A140BF"/>
    <w:rsid w:val="00A16177"/>
    <w:rsid w:val="00A163F8"/>
    <w:rsid w:val="00A16FC5"/>
    <w:rsid w:val="00A209D1"/>
    <w:rsid w:val="00A223AE"/>
    <w:rsid w:val="00A22F47"/>
    <w:rsid w:val="00A30591"/>
    <w:rsid w:val="00A35AE0"/>
    <w:rsid w:val="00A35CAC"/>
    <w:rsid w:val="00A36113"/>
    <w:rsid w:val="00A4016A"/>
    <w:rsid w:val="00A424E5"/>
    <w:rsid w:val="00A42847"/>
    <w:rsid w:val="00A4490F"/>
    <w:rsid w:val="00A44F24"/>
    <w:rsid w:val="00A47B79"/>
    <w:rsid w:val="00A53D70"/>
    <w:rsid w:val="00A5688C"/>
    <w:rsid w:val="00A60069"/>
    <w:rsid w:val="00A6127B"/>
    <w:rsid w:val="00A626D3"/>
    <w:rsid w:val="00A636EC"/>
    <w:rsid w:val="00A67F12"/>
    <w:rsid w:val="00A70BCC"/>
    <w:rsid w:val="00A71D2C"/>
    <w:rsid w:val="00A77C27"/>
    <w:rsid w:val="00A80160"/>
    <w:rsid w:val="00A80A66"/>
    <w:rsid w:val="00A80EC1"/>
    <w:rsid w:val="00A8152A"/>
    <w:rsid w:val="00A83B0F"/>
    <w:rsid w:val="00A85937"/>
    <w:rsid w:val="00A8702A"/>
    <w:rsid w:val="00A91EE7"/>
    <w:rsid w:val="00A93929"/>
    <w:rsid w:val="00A963EF"/>
    <w:rsid w:val="00A966AD"/>
    <w:rsid w:val="00A97658"/>
    <w:rsid w:val="00AA28CA"/>
    <w:rsid w:val="00AA3C1A"/>
    <w:rsid w:val="00AA5165"/>
    <w:rsid w:val="00AA7117"/>
    <w:rsid w:val="00AA74AE"/>
    <w:rsid w:val="00AB1350"/>
    <w:rsid w:val="00AB1749"/>
    <w:rsid w:val="00AB21D4"/>
    <w:rsid w:val="00AB2756"/>
    <w:rsid w:val="00AB28E4"/>
    <w:rsid w:val="00AB415E"/>
    <w:rsid w:val="00AB475C"/>
    <w:rsid w:val="00AB4E07"/>
    <w:rsid w:val="00AB5B07"/>
    <w:rsid w:val="00AB6244"/>
    <w:rsid w:val="00AB6987"/>
    <w:rsid w:val="00AC0FAD"/>
    <w:rsid w:val="00AC1090"/>
    <w:rsid w:val="00AC28BD"/>
    <w:rsid w:val="00AC36D2"/>
    <w:rsid w:val="00AC4DBC"/>
    <w:rsid w:val="00AC5849"/>
    <w:rsid w:val="00AC73CD"/>
    <w:rsid w:val="00AC76C7"/>
    <w:rsid w:val="00AC7F9B"/>
    <w:rsid w:val="00AD174A"/>
    <w:rsid w:val="00AD50A1"/>
    <w:rsid w:val="00AD66E2"/>
    <w:rsid w:val="00AD69C6"/>
    <w:rsid w:val="00AE1DE1"/>
    <w:rsid w:val="00AE2738"/>
    <w:rsid w:val="00AE5FE2"/>
    <w:rsid w:val="00AE6063"/>
    <w:rsid w:val="00AE61D1"/>
    <w:rsid w:val="00AE6E8A"/>
    <w:rsid w:val="00AE7E4D"/>
    <w:rsid w:val="00AF2950"/>
    <w:rsid w:val="00AF614B"/>
    <w:rsid w:val="00B00CC6"/>
    <w:rsid w:val="00B10C7C"/>
    <w:rsid w:val="00B10CDA"/>
    <w:rsid w:val="00B10E43"/>
    <w:rsid w:val="00B1204E"/>
    <w:rsid w:val="00B15307"/>
    <w:rsid w:val="00B16821"/>
    <w:rsid w:val="00B23A84"/>
    <w:rsid w:val="00B26E51"/>
    <w:rsid w:val="00B30270"/>
    <w:rsid w:val="00B30A7C"/>
    <w:rsid w:val="00B31472"/>
    <w:rsid w:val="00B324EE"/>
    <w:rsid w:val="00B3315B"/>
    <w:rsid w:val="00B33A65"/>
    <w:rsid w:val="00B33E99"/>
    <w:rsid w:val="00B37FEE"/>
    <w:rsid w:val="00B4037B"/>
    <w:rsid w:val="00B44142"/>
    <w:rsid w:val="00B4551C"/>
    <w:rsid w:val="00B45E30"/>
    <w:rsid w:val="00B467E4"/>
    <w:rsid w:val="00B46D2E"/>
    <w:rsid w:val="00B47F88"/>
    <w:rsid w:val="00B517DD"/>
    <w:rsid w:val="00B54724"/>
    <w:rsid w:val="00B5649C"/>
    <w:rsid w:val="00B564A4"/>
    <w:rsid w:val="00B60163"/>
    <w:rsid w:val="00B60364"/>
    <w:rsid w:val="00B65C27"/>
    <w:rsid w:val="00B66590"/>
    <w:rsid w:val="00B671FC"/>
    <w:rsid w:val="00B740C5"/>
    <w:rsid w:val="00B76340"/>
    <w:rsid w:val="00B817BB"/>
    <w:rsid w:val="00B81997"/>
    <w:rsid w:val="00B84317"/>
    <w:rsid w:val="00B854D8"/>
    <w:rsid w:val="00B86079"/>
    <w:rsid w:val="00B86DB1"/>
    <w:rsid w:val="00B874C7"/>
    <w:rsid w:val="00B90CBF"/>
    <w:rsid w:val="00B93499"/>
    <w:rsid w:val="00B93E23"/>
    <w:rsid w:val="00B956EA"/>
    <w:rsid w:val="00B966AF"/>
    <w:rsid w:val="00BA02CC"/>
    <w:rsid w:val="00BA1010"/>
    <w:rsid w:val="00BA2832"/>
    <w:rsid w:val="00BA4498"/>
    <w:rsid w:val="00BA4826"/>
    <w:rsid w:val="00BA6D8F"/>
    <w:rsid w:val="00BA7B7E"/>
    <w:rsid w:val="00BB05B1"/>
    <w:rsid w:val="00BB42EF"/>
    <w:rsid w:val="00BB4BBA"/>
    <w:rsid w:val="00BB5363"/>
    <w:rsid w:val="00BC06E4"/>
    <w:rsid w:val="00BC08EE"/>
    <w:rsid w:val="00BC0A64"/>
    <w:rsid w:val="00BC158C"/>
    <w:rsid w:val="00BC633B"/>
    <w:rsid w:val="00BC68FC"/>
    <w:rsid w:val="00BC7A5E"/>
    <w:rsid w:val="00BD1697"/>
    <w:rsid w:val="00BD16D5"/>
    <w:rsid w:val="00BD2230"/>
    <w:rsid w:val="00BD245C"/>
    <w:rsid w:val="00BD305F"/>
    <w:rsid w:val="00BD31F1"/>
    <w:rsid w:val="00BD4BC2"/>
    <w:rsid w:val="00BD5B28"/>
    <w:rsid w:val="00BD60A6"/>
    <w:rsid w:val="00BD7225"/>
    <w:rsid w:val="00BE1F3E"/>
    <w:rsid w:val="00BE250E"/>
    <w:rsid w:val="00BE3E30"/>
    <w:rsid w:val="00BE6F15"/>
    <w:rsid w:val="00BE7144"/>
    <w:rsid w:val="00BF1605"/>
    <w:rsid w:val="00BF2519"/>
    <w:rsid w:val="00BF2FA4"/>
    <w:rsid w:val="00BF3385"/>
    <w:rsid w:val="00BF5B40"/>
    <w:rsid w:val="00BF7906"/>
    <w:rsid w:val="00C02800"/>
    <w:rsid w:val="00C03A3C"/>
    <w:rsid w:val="00C0412F"/>
    <w:rsid w:val="00C04B25"/>
    <w:rsid w:val="00C04BA8"/>
    <w:rsid w:val="00C051F0"/>
    <w:rsid w:val="00C17706"/>
    <w:rsid w:val="00C178C5"/>
    <w:rsid w:val="00C208D4"/>
    <w:rsid w:val="00C22CAC"/>
    <w:rsid w:val="00C26331"/>
    <w:rsid w:val="00C33371"/>
    <w:rsid w:val="00C33B6C"/>
    <w:rsid w:val="00C35216"/>
    <w:rsid w:val="00C36B9B"/>
    <w:rsid w:val="00C419B3"/>
    <w:rsid w:val="00C44019"/>
    <w:rsid w:val="00C4516C"/>
    <w:rsid w:val="00C45CFE"/>
    <w:rsid w:val="00C463B9"/>
    <w:rsid w:val="00C478CA"/>
    <w:rsid w:val="00C52E2C"/>
    <w:rsid w:val="00C534BD"/>
    <w:rsid w:val="00C536F5"/>
    <w:rsid w:val="00C538B7"/>
    <w:rsid w:val="00C55221"/>
    <w:rsid w:val="00C57A3A"/>
    <w:rsid w:val="00C60B80"/>
    <w:rsid w:val="00C61779"/>
    <w:rsid w:val="00C62A55"/>
    <w:rsid w:val="00C6337B"/>
    <w:rsid w:val="00C642CE"/>
    <w:rsid w:val="00C647A5"/>
    <w:rsid w:val="00C64811"/>
    <w:rsid w:val="00C67521"/>
    <w:rsid w:val="00C67CB8"/>
    <w:rsid w:val="00C67EE6"/>
    <w:rsid w:val="00C719DF"/>
    <w:rsid w:val="00C71B8F"/>
    <w:rsid w:val="00C71C07"/>
    <w:rsid w:val="00C72D29"/>
    <w:rsid w:val="00C7430F"/>
    <w:rsid w:val="00C743E3"/>
    <w:rsid w:val="00C74B24"/>
    <w:rsid w:val="00C76ADF"/>
    <w:rsid w:val="00C80A7E"/>
    <w:rsid w:val="00C81E29"/>
    <w:rsid w:val="00C8215C"/>
    <w:rsid w:val="00C83D99"/>
    <w:rsid w:val="00C84880"/>
    <w:rsid w:val="00C86162"/>
    <w:rsid w:val="00C902BD"/>
    <w:rsid w:val="00C90C72"/>
    <w:rsid w:val="00C9387E"/>
    <w:rsid w:val="00C93EF5"/>
    <w:rsid w:val="00C94EF3"/>
    <w:rsid w:val="00C953C8"/>
    <w:rsid w:val="00C97C5A"/>
    <w:rsid w:val="00C97FEA"/>
    <w:rsid w:val="00CA0700"/>
    <w:rsid w:val="00CA1E1A"/>
    <w:rsid w:val="00CA23D4"/>
    <w:rsid w:val="00CA2BDE"/>
    <w:rsid w:val="00CA2EF8"/>
    <w:rsid w:val="00CA3F57"/>
    <w:rsid w:val="00CA402B"/>
    <w:rsid w:val="00CA5A54"/>
    <w:rsid w:val="00CA6B07"/>
    <w:rsid w:val="00CB1178"/>
    <w:rsid w:val="00CB177F"/>
    <w:rsid w:val="00CB4718"/>
    <w:rsid w:val="00CB537D"/>
    <w:rsid w:val="00CB6629"/>
    <w:rsid w:val="00CB7715"/>
    <w:rsid w:val="00CC0AB8"/>
    <w:rsid w:val="00CC0C86"/>
    <w:rsid w:val="00CC3A94"/>
    <w:rsid w:val="00CC539E"/>
    <w:rsid w:val="00CC5A0E"/>
    <w:rsid w:val="00CC71C1"/>
    <w:rsid w:val="00CC7D3F"/>
    <w:rsid w:val="00CD0639"/>
    <w:rsid w:val="00CD09C1"/>
    <w:rsid w:val="00CD2552"/>
    <w:rsid w:val="00CD3BD8"/>
    <w:rsid w:val="00CD4BE8"/>
    <w:rsid w:val="00CD4C06"/>
    <w:rsid w:val="00CD7B2C"/>
    <w:rsid w:val="00CD7F11"/>
    <w:rsid w:val="00CE1652"/>
    <w:rsid w:val="00CE2219"/>
    <w:rsid w:val="00CE5014"/>
    <w:rsid w:val="00CF17C1"/>
    <w:rsid w:val="00CF607F"/>
    <w:rsid w:val="00CF6E15"/>
    <w:rsid w:val="00CF71E3"/>
    <w:rsid w:val="00CF7BB7"/>
    <w:rsid w:val="00D00139"/>
    <w:rsid w:val="00D001DA"/>
    <w:rsid w:val="00D032F0"/>
    <w:rsid w:val="00D03C84"/>
    <w:rsid w:val="00D045EC"/>
    <w:rsid w:val="00D10A56"/>
    <w:rsid w:val="00D128D4"/>
    <w:rsid w:val="00D12F74"/>
    <w:rsid w:val="00D15A13"/>
    <w:rsid w:val="00D16969"/>
    <w:rsid w:val="00D169C9"/>
    <w:rsid w:val="00D17979"/>
    <w:rsid w:val="00D21DB9"/>
    <w:rsid w:val="00D23B0D"/>
    <w:rsid w:val="00D25427"/>
    <w:rsid w:val="00D26860"/>
    <w:rsid w:val="00D2792C"/>
    <w:rsid w:val="00D27FEA"/>
    <w:rsid w:val="00D31B11"/>
    <w:rsid w:val="00D36187"/>
    <w:rsid w:val="00D36ECA"/>
    <w:rsid w:val="00D402A1"/>
    <w:rsid w:val="00D403AE"/>
    <w:rsid w:val="00D41215"/>
    <w:rsid w:val="00D43856"/>
    <w:rsid w:val="00D4550B"/>
    <w:rsid w:val="00D46597"/>
    <w:rsid w:val="00D46A30"/>
    <w:rsid w:val="00D5003A"/>
    <w:rsid w:val="00D51587"/>
    <w:rsid w:val="00D54A4C"/>
    <w:rsid w:val="00D55B24"/>
    <w:rsid w:val="00D5652D"/>
    <w:rsid w:val="00D60645"/>
    <w:rsid w:val="00D611D8"/>
    <w:rsid w:val="00D6299D"/>
    <w:rsid w:val="00D65056"/>
    <w:rsid w:val="00D6732F"/>
    <w:rsid w:val="00D67F2C"/>
    <w:rsid w:val="00D70928"/>
    <w:rsid w:val="00D7118A"/>
    <w:rsid w:val="00D7150A"/>
    <w:rsid w:val="00D71E0A"/>
    <w:rsid w:val="00D7202C"/>
    <w:rsid w:val="00D74FA7"/>
    <w:rsid w:val="00D75860"/>
    <w:rsid w:val="00D820B8"/>
    <w:rsid w:val="00D82614"/>
    <w:rsid w:val="00D82AE7"/>
    <w:rsid w:val="00D82B51"/>
    <w:rsid w:val="00D85BFD"/>
    <w:rsid w:val="00D86398"/>
    <w:rsid w:val="00D87D31"/>
    <w:rsid w:val="00D900B3"/>
    <w:rsid w:val="00D905A4"/>
    <w:rsid w:val="00D92EBF"/>
    <w:rsid w:val="00D9368C"/>
    <w:rsid w:val="00D97E87"/>
    <w:rsid w:val="00DA33C4"/>
    <w:rsid w:val="00DB117F"/>
    <w:rsid w:val="00DB1A85"/>
    <w:rsid w:val="00DB4905"/>
    <w:rsid w:val="00DC1ED8"/>
    <w:rsid w:val="00DC2F2D"/>
    <w:rsid w:val="00DC340B"/>
    <w:rsid w:val="00DC55E8"/>
    <w:rsid w:val="00DC5D00"/>
    <w:rsid w:val="00DC7DE2"/>
    <w:rsid w:val="00DC7FC3"/>
    <w:rsid w:val="00DD0315"/>
    <w:rsid w:val="00DD0F23"/>
    <w:rsid w:val="00DD1C0A"/>
    <w:rsid w:val="00DD38F6"/>
    <w:rsid w:val="00DD4F85"/>
    <w:rsid w:val="00DD4F8D"/>
    <w:rsid w:val="00DD50B0"/>
    <w:rsid w:val="00DD5938"/>
    <w:rsid w:val="00DD5958"/>
    <w:rsid w:val="00DD5CBD"/>
    <w:rsid w:val="00DD6179"/>
    <w:rsid w:val="00DD6410"/>
    <w:rsid w:val="00DD6ADB"/>
    <w:rsid w:val="00DE36DD"/>
    <w:rsid w:val="00DE3710"/>
    <w:rsid w:val="00DE4A4C"/>
    <w:rsid w:val="00DE569F"/>
    <w:rsid w:val="00DE6C0F"/>
    <w:rsid w:val="00DF0028"/>
    <w:rsid w:val="00DF0ED2"/>
    <w:rsid w:val="00DF1B83"/>
    <w:rsid w:val="00DF31F6"/>
    <w:rsid w:val="00DF332B"/>
    <w:rsid w:val="00DF44E5"/>
    <w:rsid w:val="00DF4C82"/>
    <w:rsid w:val="00DF4E46"/>
    <w:rsid w:val="00DF51B9"/>
    <w:rsid w:val="00DF7126"/>
    <w:rsid w:val="00DF7A05"/>
    <w:rsid w:val="00E01607"/>
    <w:rsid w:val="00E064FB"/>
    <w:rsid w:val="00E10AFC"/>
    <w:rsid w:val="00E165B6"/>
    <w:rsid w:val="00E2079D"/>
    <w:rsid w:val="00E20AC3"/>
    <w:rsid w:val="00E2235A"/>
    <w:rsid w:val="00E328C6"/>
    <w:rsid w:val="00E32F71"/>
    <w:rsid w:val="00E34914"/>
    <w:rsid w:val="00E36045"/>
    <w:rsid w:val="00E36095"/>
    <w:rsid w:val="00E37A9A"/>
    <w:rsid w:val="00E40657"/>
    <w:rsid w:val="00E41E46"/>
    <w:rsid w:val="00E44A5A"/>
    <w:rsid w:val="00E467B1"/>
    <w:rsid w:val="00E5063D"/>
    <w:rsid w:val="00E50F6B"/>
    <w:rsid w:val="00E56410"/>
    <w:rsid w:val="00E572E9"/>
    <w:rsid w:val="00E575D2"/>
    <w:rsid w:val="00E57D78"/>
    <w:rsid w:val="00E608A4"/>
    <w:rsid w:val="00E609BD"/>
    <w:rsid w:val="00E615B1"/>
    <w:rsid w:val="00E64152"/>
    <w:rsid w:val="00E65346"/>
    <w:rsid w:val="00E663A2"/>
    <w:rsid w:val="00E67B03"/>
    <w:rsid w:val="00E72CD2"/>
    <w:rsid w:val="00E735D2"/>
    <w:rsid w:val="00E745B6"/>
    <w:rsid w:val="00E77E06"/>
    <w:rsid w:val="00E81BCB"/>
    <w:rsid w:val="00E82C69"/>
    <w:rsid w:val="00E83C5D"/>
    <w:rsid w:val="00E84FAC"/>
    <w:rsid w:val="00E9065A"/>
    <w:rsid w:val="00E917D3"/>
    <w:rsid w:val="00E933F8"/>
    <w:rsid w:val="00E94285"/>
    <w:rsid w:val="00E9478B"/>
    <w:rsid w:val="00E96A39"/>
    <w:rsid w:val="00EA190B"/>
    <w:rsid w:val="00EA4AE9"/>
    <w:rsid w:val="00EA53D4"/>
    <w:rsid w:val="00EA6C06"/>
    <w:rsid w:val="00EB2A74"/>
    <w:rsid w:val="00EB37DE"/>
    <w:rsid w:val="00EB42AD"/>
    <w:rsid w:val="00EB6964"/>
    <w:rsid w:val="00EB6C80"/>
    <w:rsid w:val="00EB705C"/>
    <w:rsid w:val="00EB77F1"/>
    <w:rsid w:val="00EC0CA8"/>
    <w:rsid w:val="00EC4966"/>
    <w:rsid w:val="00EC5CDE"/>
    <w:rsid w:val="00EC6BE0"/>
    <w:rsid w:val="00EC7B8A"/>
    <w:rsid w:val="00ED1631"/>
    <w:rsid w:val="00ED1EE4"/>
    <w:rsid w:val="00ED4F7C"/>
    <w:rsid w:val="00ED621A"/>
    <w:rsid w:val="00ED7F08"/>
    <w:rsid w:val="00EE3EB2"/>
    <w:rsid w:val="00EE5AE2"/>
    <w:rsid w:val="00EE5B6D"/>
    <w:rsid w:val="00EF0AD8"/>
    <w:rsid w:val="00EF202B"/>
    <w:rsid w:val="00EF3DA8"/>
    <w:rsid w:val="00EF7AF5"/>
    <w:rsid w:val="00F0054C"/>
    <w:rsid w:val="00F00990"/>
    <w:rsid w:val="00F00D1A"/>
    <w:rsid w:val="00F00FA9"/>
    <w:rsid w:val="00F031C2"/>
    <w:rsid w:val="00F033FE"/>
    <w:rsid w:val="00F03641"/>
    <w:rsid w:val="00F03A58"/>
    <w:rsid w:val="00F053DD"/>
    <w:rsid w:val="00F06006"/>
    <w:rsid w:val="00F10665"/>
    <w:rsid w:val="00F10BF5"/>
    <w:rsid w:val="00F143DD"/>
    <w:rsid w:val="00F15641"/>
    <w:rsid w:val="00F21493"/>
    <w:rsid w:val="00F2192F"/>
    <w:rsid w:val="00F23C3D"/>
    <w:rsid w:val="00F30376"/>
    <w:rsid w:val="00F31124"/>
    <w:rsid w:val="00F31A3D"/>
    <w:rsid w:val="00F33CA8"/>
    <w:rsid w:val="00F33EE5"/>
    <w:rsid w:val="00F40376"/>
    <w:rsid w:val="00F418C8"/>
    <w:rsid w:val="00F509BB"/>
    <w:rsid w:val="00F5340C"/>
    <w:rsid w:val="00F53550"/>
    <w:rsid w:val="00F54BCC"/>
    <w:rsid w:val="00F55482"/>
    <w:rsid w:val="00F57E3D"/>
    <w:rsid w:val="00F63DA9"/>
    <w:rsid w:val="00F64F35"/>
    <w:rsid w:val="00F65BCA"/>
    <w:rsid w:val="00F66C40"/>
    <w:rsid w:val="00F67EA7"/>
    <w:rsid w:val="00F70ABD"/>
    <w:rsid w:val="00F740AA"/>
    <w:rsid w:val="00F80436"/>
    <w:rsid w:val="00F80C7F"/>
    <w:rsid w:val="00F825D8"/>
    <w:rsid w:val="00F82B04"/>
    <w:rsid w:val="00F95679"/>
    <w:rsid w:val="00FA0D3D"/>
    <w:rsid w:val="00FA5978"/>
    <w:rsid w:val="00FA6FD6"/>
    <w:rsid w:val="00FB0636"/>
    <w:rsid w:val="00FB2AB0"/>
    <w:rsid w:val="00FB3313"/>
    <w:rsid w:val="00FB42BB"/>
    <w:rsid w:val="00FB55D3"/>
    <w:rsid w:val="00FB6CB8"/>
    <w:rsid w:val="00FB7596"/>
    <w:rsid w:val="00FC2304"/>
    <w:rsid w:val="00FC3C6E"/>
    <w:rsid w:val="00FC58B1"/>
    <w:rsid w:val="00FC5C19"/>
    <w:rsid w:val="00FD020E"/>
    <w:rsid w:val="00FD0543"/>
    <w:rsid w:val="00FD20DB"/>
    <w:rsid w:val="00FD53F8"/>
    <w:rsid w:val="00FD71C5"/>
    <w:rsid w:val="00FE09AA"/>
    <w:rsid w:val="00FE336F"/>
    <w:rsid w:val="00FE35C6"/>
    <w:rsid w:val="00FE47CF"/>
    <w:rsid w:val="00FE4A6B"/>
    <w:rsid w:val="00FE55E3"/>
    <w:rsid w:val="00FE664A"/>
    <w:rsid w:val="00FE66C5"/>
    <w:rsid w:val="00FE6B51"/>
    <w:rsid w:val="00FF1748"/>
    <w:rsid w:val="00FF1FED"/>
    <w:rsid w:val="00FF4712"/>
    <w:rsid w:val="00FF7E01"/>
    <w:rsid w:val="68B6C7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21CAF"/>
  <w15:docId w15:val="{CBCA146B-F96F-4D38-8E8D-4FEF342389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qFormat="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6989"/>
    <w:pPr>
      <w:spacing w:line="256" w:lineRule="auto"/>
    </w:pPr>
    <w:rPr>
      <w:rFonts w:ascii="Arial" w:hAnsi="Arial" w:cs="Times New Roman"/>
      <w:sz w:val="24"/>
    </w:rPr>
  </w:style>
  <w:style w:type="paragraph" w:styleId="Ttulo1">
    <w:name w:val="heading 1"/>
    <w:basedOn w:val="Normal"/>
    <w:next w:val="Normal"/>
    <w:link w:val="Ttulo1Car"/>
    <w:uiPriority w:val="9"/>
    <w:qFormat/>
    <w:rsid w:val="007F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F6989"/>
    <w:rPr>
      <w:rFonts w:asciiTheme="majorHAnsi" w:hAnsiTheme="majorHAnsi" w:eastAsiaTheme="majorEastAsia" w:cstheme="majorBidi"/>
      <w:color w:val="2F5496" w:themeColor="accent1" w:themeShade="BF"/>
      <w:sz w:val="32"/>
      <w:szCs w:val="32"/>
    </w:rPr>
  </w:style>
  <w:style w:type="paragraph" w:styleId="Piedepgina">
    <w:name w:val="footer"/>
    <w:basedOn w:val="Normal"/>
    <w:link w:val="Piedepgina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PiedepginaCar" w:customStyle="1">
    <w:name w:val="Pie de página Car"/>
    <w:basedOn w:val="Fuentedeprrafopredeter"/>
    <w:link w:val="Piedepgina"/>
    <w:uiPriority w:val="99"/>
    <w:rsid w:val="007F6989"/>
    <w:rPr>
      <w:rFonts w:ascii="Times New Roman" w:hAnsi="Times New Roman" w:eastAsia="Times New Roman" w:cs="Times New Roman"/>
      <w:sz w:val="24"/>
      <w:szCs w:val="24"/>
      <w:lang w:val="x-none" w:eastAsia="es-ES"/>
    </w:rPr>
  </w:style>
  <w:style w:type="character" w:styleId="Nmerodepgina">
    <w:name w:val="page number"/>
    <w:rsid w:val="007F6989"/>
  </w:style>
  <w:style w:type="paragraph" w:styleId="Ttulo">
    <w:name w:val="Title"/>
    <w:aliases w:val="Título1"/>
    <w:basedOn w:val="Normal"/>
    <w:next w:val="Normal"/>
    <w:link w:val="TtuloCar1"/>
    <w:uiPriority w:val="10"/>
    <w:qFormat/>
    <w:rsid w:val="007F6989"/>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uiPriority w:val="10"/>
    <w:rsid w:val="007F6989"/>
    <w:rPr>
      <w:rFonts w:asciiTheme="majorHAnsi" w:hAnsiTheme="majorHAnsi" w:eastAsiaTheme="majorEastAsia" w:cstheme="majorBidi"/>
      <w:spacing w:val="-10"/>
      <w:kern w:val="28"/>
      <w:sz w:val="56"/>
      <w:szCs w:val="56"/>
    </w:rPr>
  </w:style>
  <w:style w:type="paragraph" w:styleId="Encabezado">
    <w:name w:val="header"/>
    <w:basedOn w:val="Normal"/>
    <w:link w:val="Encabezado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EncabezadoCar" w:customStyle="1">
    <w:name w:val="Encabezado Car"/>
    <w:basedOn w:val="Fuentedeprrafopredeter"/>
    <w:link w:val="Encabezado"/>
    <w:uiPriority w:val="99"/>
    <w:rsid w:val="007F6989"/>
    <w:rPr>
      <w:rFonts w:ascii="Times New Roman" w:hAnsi="Times New Roman" w:eastAsia="Times New Roman" w:cs="Times New Roman"/>
      <w:sz w:val="24"/>
      <w:szCs w:val="24"/>
      <w:lang w:val="x-none" w:eastAsia="es-ES"/>
    </w:rPr>
  </w:style>
  <w:style w:type="paragraph" w:styleId="Textonotapie">
    <w:name w:val="footnote text"/>
    <w:aliases w:val="Footnote Text Char Char Char Char Char,Footnote Text Char Char Char Char,Footnote reference,FA Fu,texto de nota al pie,Footnote Text Char Char Char,Footnote Text Char,Footnote Text Char Char Char Char Char Char Char Char,fn,Footnote Tex,C"/>
    <w:basedOn w:val="Normal"/>
    <w:link w:val="TextonotapieCar"/>
    <w:uiPriority w:val="99"/>
    <w:qFormat/>
    <w:rsid w:val="007F6989"/>
    <w:pPr>
      <w:spacing w:after="0" w:line="240" w:lineRule="auto"/>
    </w:pPr>
    <w:rPr>
      <w:rFonts w:ascii="Times New Roman" w:hAnsi="Times New Roman" w:eastAsia="Times New Roman"/>
      <w:sz w:val="20"/>
      <w:szCs w:val="20"/>
      <w:lang w:val="x-none" w:eastAsia="es-ES"/>
    </w:rPr>
  </w:style>
  <w:style w:type="character" w:styleId="TextonotapieCar" w:customStyle="1">
    <w:name w:val="Texto nota pie Car"/>
    <w:aliases w:val="Footnote Text Char Char Char Char Char Car,Footnote Text Char Char Char Char Car,Footnote reference Car,FA Fu Car,texto de nota al pie Car,Footnote Text Char Char Char Car,Footnote Text Char Car,fn Car,Footnote Tex Car,C Car"/>
    <w:basedOn w:val="Fuentedeprrafopredeter"/>
    <w:link w:val="Textonotapie"/>
    <w:uiPriority w:val="99"/>
    <w:qFormat/>
    <w:rsid w:val="007F6989"/>
    <w:rPr>
      <w:rFonts w:ascii="Times New Roman" w:hAnsi="Times New Roman" w:eastAsia="Times New Roman" w:cs="Times New Roman"/>
      <w:sz w:val="20"/>
      <w:szCs w:val="20"/>
      <w:lang w:val="x-none" w:eastAsia="es-ES"/>
    </w:rPr>
  </w:style>
  <w:style w:type="character" w:styleId="Refdenotaalpie">
    <w:name w:val="footnote reference"/>
    <w:aliases w:val="Ref. de nota al pie 2,Texto de nota al pie,Footnotes refss,Appel note de bas de page,Pie de Página,FC,Texto de nota al p,Pie de Pàgina,F,Pie de P_gin,Pie de P_,Texto de nota al pi,Pie de P_g,Footnote number,referencia nota al pie,f,4"/>
    <w:link w:val="Refdenotaalpie2"/>
    <w:qFormat/>
    <w:rsid w:val="007F6989"/>
    <w:rPr>
      <w:vertAlign w:val="superscript"/>
    </w:rPr>
  </w:style>
  <w:style w:type="character" w:styleId="Referenciasutil">
    <w:name w:val="Subtle Reference"/>
    <w:uiPriority w:val="31"/>
    <w:qFormat/>
    <w:rsid w:val="007F6989"/>
    <w:rPr>
      <w:smallCaps/>
      <w:color w:val="C0504D"/>
      <w:u w:val="single"/>
    </w:rPr>
  </w:style>
  <w:style w:type="paragraph" w:styleId="Refdenotaalpie2" w:customStyle="1">
    <w:name w:val="Ref. de nota al pie2"/>
    <w:aliases w:val="Pie de pagina,Nota de pie"/>
    <w:basedOn w:val="Normal"/>
    <w:link w:val="Refdenotaalpie"/>
    <w:rsid w:val="007F6989"/>
    <w:pPr>
      <w:spacing w:line="240" w:lineRule="exact"/>
    </w:pPr>
    <w:rPr>
      <w:rFonts w:asciiTheme="minorHAnsi" w:hAnsiTheme="minorHAnsi" w:cstheme="minorBidi"/>
      <w:sz w:val="22"/>
      <w:vertAlign w:val="superscript"/>
    </w:rPr>
  </w:style>
  <w:style w:type="paragraph" w:styleId="Prrafodelista">
    <w:name w:val="List Paragraph"/>
    <w:basedOn w:val="Normal"/>
    <w:link w:val="PrrafodelistaCar"/>
    <w:uiPriority w:val="34"/>
    <w:qFormat/>
    <w:rsid w:val="007F6989"/>
    <w:pPr>
      <w:spacing w:after="200" w:line="276" w:lineRule="auto"/>
      <w:ind w:left="720"/>
    </w:pPr>
    <w:rPr>
      <w:rFonts w:ascii="Calibri" w:hAnsi="Calibri" w:eastAsia="Times New Roman"/>
      <w:sz w:val="22"/>
    </w:rPr>
  </w:style>
  <w:style w:type="character" w:styleId="TtuloCar1" w:customStyle="1">
    <w:name w:val="Título Car1"/>
    <w:aliases w:val="Título1 Car"/>
    <w:basedOn w:val="Fuentedeprrafopredeter"/>
    <w:link w:val="Ttulo"/>
    <w:uiPriority w:val="10"/>
    <w:rsid w:val="007F6989"/>
    <w:rPr>
      <w:rFonts w:asciiTheme="majorHAnsi" w:hAnsiTheme="majorHAnsi" w:eastAsiaTheme="majorEastAsia" w:cstheme="majorBidi"/>
      <w:spacing w:val="-10"/>
      <w:kern w:val="28"/>
      <w:sz w:val="56"/>
      <w:szCs w:val="56"/>
    </w:rPr>
  </w:style>
  <w:style w:type="paragraph" w:styleId="Textocomentario">
    <w:name w:val="annotation text"/>
    <w:basedOn w:val="Normal"/>
    <w:link w:val="TextocomentarioCar"/>
    <w:uiPriority w:val="99"/>
    <w:unhideWhenUsed/>
    <w:rsid w:val="007F6989"/>
    <w:pPr>
      <w:spacing w:line="240" w:lineRule="auto"/>
    </w:pPr>
    <w:rPr>
      <w:sz w:val="20"/>
      <w:szCs w:val="20"/>
    </w:rPr>
  </w:style>
  <w:style w:type="character" w:styleId="TextocomentarioCar" w:customStyle="1">
    <w:name w:val="Texto comentario Car"/>
    <w:basedOn w:val="Fuentedeprrafopredeter"/>
    <w:link w:val="Textocomentario"/>
    <w:uiPriority w:val="99"/>
    <w:rsid w:val="007F6989"/>
    <w:rPr>
      <w:rFonts w:ascii="Arial" w:hAnsi="Arial" w:cs="Times New Roman"/>
      <w:sz w:val="20"/>
      <w:szCs w:val="20"/>
    </w:rPr>
  </w:style>
  <w:style w:type="character" w:styleId="Textoennegrita">
    <w:name w:val="Strong"/>
    <w:uiPriority w:val="22"/>
    <w:qFormat/>
    <w:rsid w:val="007F6989"/>
    <w:rPr>
      <w:b/>
      <w:bCs/>
    </w:rPr>
  </w:style>
  <w:style w:type="paragraph" w:styleId="Sinespaciado">
    <w:name w:val="No Spacing"/>
    <w:uiPriority w:val="1"/>
    <w:qFormat/>
    <w:rsid w:val="006F7FE3"/>
    <w:pPr>
      <w:spacing w:after="0" w:line="240" w:lineRule="auto"/>
      <w:jc w:val="both"/>
    </w:pPr>
    <w:rPr>
      <w:rFonts w:ascii="Arial" w:hAnsi="Arial" w:eastAsia="Calibri" w:cs="Arial"/>
      <w:sz w:val="24"/>
      <w:szCs w:val="24"/>
      <w:lang w:val="es-ES"/>
    </w:rPr>
  </w:style>
  <w:style w:type="character" w:styleId="apple-converted-space" w:customStyle="1">
    <w:name w:val="apple-converted-space"/>
    <w:rsid w:val="003541FE"/>
  </w:style>
  <w:style w:type="character" w:styleId="Hipervnculo">
    <w:name w:val="Hyperlink"/>
    <w:basedOn w:val="Fuentedeprrafopredeter"/>
    <w:uiPriority w:val="99"/>
    <w:unhideWhenUsed/>
    <w:rsid w:val="002A2485"/>
    <w:rPr>
      <w:color w:val="0563C1" w:themeColor="hyperlink"/>
      <w:u w:val="single"/>
    </w:rPr>
  </w:style>
  <w:style w:type="character" w:styleId="nfasis">
    <w:name w:val="Emphasis"/>
    <w:basedOn w:val="Fuentedeprrafopredeter"/>
    <w:uiPriority w:val="20"/>
    <w:qFormat/>
    <w:rsid w:val="00F143DD"/>
    <w:rPr>
      <w:i/>
      <w:iCs/>
    </w:rPr>
  </w:style>
  <w:style w:type="paragraph" w:styleId="NormalWeb">
    <w:name w:val="Normal (Web)"/>
    <w:basedOn w:val="Normal"/>
    <w:link w:val="NormalWebCar"/>
    <w:uiPriority w:val="99"/>
    <w:unhideWhenUsed/>
    <w:rsid w:val="0006556C"/>
    <w:pPr>
      <w:spacing w:before="100" w:beforeAutospacing="1" w:after="100" w:afterAutospacing="1" w:line="240" w:lineRule="auto"/>
    </w:pPr>
    <w:rPr>
      <w:rFonts w:ascii="Times New Roman" w:hAnsi="Times New Roman" w:eastAsia="Times New Roman"/>
      <w:szCs w:val="24"/>
      <w:lang w:eastAsia="es-CO"/>
    </w:rPr>
  </w:style>
  <w:style w:type="table" w:styleId="Tablaconcuadrcula">
    <w:name w:val="Table Grid"/>
    <w:basedOn w:val="Tablanormal"/>
    <w:uiPriority w:val="39"/>
    <w:rsid w:val="00456A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6" w:customStyle="1">
    <w:name w:val="pa6"/>
    <w:basedOn w:val="Normal"/>
    <w:rsid w:val="00BC08EE"/>
    <w:pPr>
      <w:spacing w:before="100" w:beforeAutospacing="1" w:after="100" w:afterAutospacing="1" w:line="240" w:lineRule="auto"/>
    </w:pPr>
    <w:rPr>
      <w:rFonts w:ascii="Times New Roman" w:hAnsi="Times New Roman" w:eastAsia="Times New Roman"/>
      <w:szCs w:val="24"/>
      <w:lang w:eastAsia="es-CO"/>
    </w:rPr>
  </w:style>
  <w:style w:type="paragraph" w:styleId="4GChar" w:customStyle="1">
    <w:name w:val="4_G Char"/>
    <w:aliases w:val="Appel note de bas de page Char,Appel note de bas de page Char Char Char Char Char Char Char Char Char Char Char Char Char Char Char Char Char Char Char,Appel note de bas de page Char Char Char Char"/>
    <w:basedOn w:val="Normal"/>
    <w:uiPriority w:val="99"/>
    <w:rsid w:val="00AE2738"/>
    <w:pPr>
      <w:spacing w:after="0" w:line="240" w:lineRule="auto"/>
      <w:jc w:val="both"/>
    </w:pPr>
    <w:rPr>
      <w:rFonts w:asciiTheme="minorHAnsi" w:hAnsiTheme="minorHAnsi" w:cstheme="minorBidi"/>
      <w:sz w:val="22"/>
      <w:vertAlign w:val="superscript"/>
    </w:rPr>
  </w:style>
  <w:style w:type="character" w:styleId="baj" w:customStyle="1">
    <w:name w:val="b_aj"/>
    <w:rsid w:val="00AE2738"/>
  </w:style>
  <w:style w:type="character" w:styleId="NormalWebCar" w:customStyle="1">
    <w:name w:val="Normal (Web) Car"/>
    <w:link w:val="NormalWeb"/>
    <w:uiPriority w:val="99"/>
    <w:locked/>
    <w:rsid w:val="009E1356"/>
    <w:rPr>
      <w:rFonts w:ascii="Times New Roman" w:hAnsi="Times New Roman" w:eastAsia="Times New Roman" w:cs="Times New Roman"/>
      <w:sz w:val="24"/>
      <w:szCs w:val="24"/>
      <w:lang w:eastAsia="es-CO"/>
    </w:rPr>
  </w:style>
  <w:style w:type="paragraph" w:styleId="Revisin">
    <w:name w:val="Revision"/>
    <w:hidden/>
    <w:uiPriority w:val="99"/>
    <w:semiHidden/>
    <w:rsid w:val="006048E5"/>
    <w:pPr>
      <w:spacing w:after="0" w:line="240" w:lineRule="auto"/>
    </w:pPr>
    <w:rPr>
      <w:rFonts w:ascii="Arial" w:hAnsi="Arial" w:cs="Times New Roman"/>
      <w:sz w:val="24"/>
    </w:rPr>
  </w:style>
  <w:style w:type="character" w:styleId="Refdecomentario">
    <w:name w:val="annotation reference"/>
    <w:basedOn w:val="Fuentedeprrafopredeter"/>
    <w:uiPriority w:val="99"/>
    <w:semiHidden/>
    <w:unhideWhenUsed/>
    <w:rsid w:val="001D4D4F"/>
    <w:rPr>
      <w:sz w:val="16"/>
      <w:szCs w:val="16"/>
    </w:rPr>
  </w:style>
  <w:style w:type="paragraph" w:styleId="Asuntodelcomentario">
    <w:name w:val="annotation subject"/>
    <w:basedOn w:val="Textocomentario"/>
    <w:next w:val="Textocomentario"/>
    <w:link w:val="AsuntodelcomentarioCar"/>
    <w:uiPriority w:val="99"/>
    <w:semiHidden/>
    <w:unhideWhenUsed/>
    <w:rsid w:val="001D4D4F"/>
    <w:rPr>
      <w:b/>
      <w:bCs/>
    </w:rPr>
  </w:style>
  <w:style w:type="character" w:styleId="AsuntodelcomentarioCar" w:customStyle="1">
    <w:name w:val="Asunto del comentario Car"/>
    <w:basedOn w:val="TextocomentarioCar"/>
    <w:link w:val="Asuntodelcomentario"/>
    <w:uiPriority w:val="99"/>
    <w:semiHidden/>
    <w:rsid w:val="001D4D4F"/>
    <w:rPr>
      <w:rFonts w:ascii="Arial" w:hAnsi="Arial" w:cs="Times New Roman"/>
      <w:b/>
      <w:bCs/>
      <w:sz w:val="20"/>
      <w:szCs w:val="20"/>
    </w:rPr>
  </w:style>
  <w:style w:type="character" w:styleId="TextonotapieCar1" w:customStyle="1">
    <w:name w:val="Texto nota pie Car1"/>
    <w:aliases w:val="Ref. de nota al pie1 Car,Ref. de nota al pie 2 Car,Texto de nota al pie Car,referencia nota al pie Car,Pie de Página Car,FC Car,Texto de nota al p Car,Pie de Pàgina Car,F Car,Pie de P_gin Car,Pie de P_ Car,Texto de nota al pi Car"/>
    <w:semiHidden/>
    <w:locked/>
    <w:rsid w:val="005717B0"/>
    <w:rPr>
      <w:rFonts w:ascii="Times New Roman" w:hAnsi="Times New Roman" w:eastAsia="Times New Roman" w:cs="Times New Roman"/>
      <w:sz w:val="20"/>
      <w:szCs w:val="20"/>
      <w:lang w:val="es-ES" w:eastAsia="es-ES"/>
    </w:rPr>
  </w:style>
  <w:style w:type="character" w:styleId="PrrafodelistaCar" w:customStyle="1">
    <w:name w:val="Párrafo de lista Car"/>
    <w:link w:val="Prrafodelista"/>
    <w:uiPriority w:val="34"/>
    <w:locked/>
    <w:rsid w:val="005717B0"/>
    <w:rPr>
      <w:rFonts w:ascii="Calibri" w:hAnsi="Calibri" w:eastAsia="Times New Roman" w:cs="Times New Roman"/>
    </w:rPr>
  </w:style>
  <w:style w:type="character" w:styleId="Textodelmarcadordeposicin">
    <w:name w:val="Placeholder Text"/>
    <w:basedOn w:val="Fuentedeprrafopredeter"/>
    <w:uiPriority w:val="99"/>
    <w:semiHidden/>
    <w:rsid w:val="00E663A2"/>
    <w:rPr>
      <w:color w:val="808080"/>
    </w:rPr>
  </w:style>
  <w:style w:type="paragraph" w:styleId="Textodeglobo">
    <w:name w:val="Balloon Text"/>
    <w:basedOn w:val="Normal"/>
    <w:link w:val="TextodegloboCar"/>
    <w:uiPriority w:val="99"/>
    <w:semiHidden/>
    <w:unhideWhenUsed/>
    <w:rsid w:val="008667D9"/>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8667D9"/>
    <w:rPr>
      <w:rFonts w:ascii="Segoe UI" w:hAnsi="Segoe UI" w:cs="Segoe UI"/>
      <w:sz w:val="18"/>
      <w:szCs w:val="18"/>
    </w:rPr>
  </w:style>
  <w:style w:type="character" w:styleId="Mencinsinresolver1" w:customStyle="1">
    <w:name w:val="Mención sin resolver1"/>
    <w:basedOn w:val="Fuentedeprrafopredeter"/>
    <w:uiPriority w:val="99"/>
    <w:semiHidden/>
    <w:unhideWhenUsed/>
    <w:rsid w:val="00694659"/>
    <w:rPr>
      <w:color w:val="605E5C"/>
      <w:shd w:val="clear" w:color="auto" w:fill="E1DFDD"/>
    </w:rPr>
  </w:style>
  <w:style w:type="paragraph" w:styleId="Textoindependiente">
    <w:name w:val="Body Text"/>
    <w:basedOn w:val="Normal"/>
    <w:link w:val="TextoindependienteCar"/>
    <w:uiPriority w:val="99"/>
    <w:rsid w:val="00DC340B"/>
    <w:pPr>
      <w:spacing w:after="0" w:line="480" w:lineRule="auto"/>
      <w:jc w:val="both"/>
    </w:pPr>
    <w:rPr>
      <w:rFonts w:ascii="Times New Roman" w:hAnsi="Times New Roman" w:eastAsia="Times New Roman" w:cs="Arial"/>
      <w:sz w:val="28"/>
      <w:szCs w:val="28"/>
      <w:lang w:val="es-ES_tradnl" w:eastAsia="es-ES"/>
    </w:rPr>
  </w:style>
  <w:style w:type="character" w:styleId="TextoindependienteCar" w:customStyle="1">
    <w:name w:val="Texto independiente Car"/>
    <w:basedOn w:val="Fuentedeprrafopredeter"/>
    <w:link w:val="Textoindependiente"/>
    <w:uiPriority w:val="99"/>
    <w:rsid w:val="00DC340B"/>
    <w:rPr>
      <w:rFonts w:ascii="Times New Roman" w:hAnsi="Times New Roman" w:eastAsia="Times New Roman" w:cs="Arial"/>
      <w:sz w:val="28"/>
      <w:szCs w:val="28"/>
      <w:lang w:val="es-ES_tradnl" w:eastAsia="es-ES"/>
    </w:rPr>
  </w:style>
  <w:style w:type="paragraph" w:styleId="Cuadrculamediana21" w:customStyle="1">
    <w:name w:val="Cuadrícula mediana 21"/>
    <w:uiPriority w:val="1"/>
    <w:qFormat/>
    <w:rsid w:val="00DC340B"/>
    <w:pPr>
      <w:spacing w:after="0" w:line="240" w:lineRule="auto"/>
    </w:pPr>
    <w:rPr>
      <w:rFonts w:ascii="Calibri" w:hAnsi="Calibri" w:eastAsia="Calibri" w:cs="Times New Roman"/>
      <w:lang w:val="es-ES"/>
    </w:rPr>
  </w:style>
  <w:style w:type="paragraph" w:styleId="centrado" w:customStyle="1">
    <w:name w:val="centrado"/>
    <w:basedOn w:val="Normal"/>
    <w:rsid w:val="0078189D"/>
    <w:pPr>
      <w:spacing w:before="100" w:beforeAutospacing="1" w:after="100" w:afterAutospacing="1" w:line="259" w:lineRule="auto"/>
    </w:pPr>
    <w:rPr>
      <w:rFonts w:ascii="Times New Roman" w:hAnsi="Times New Roman" w:eastAsia="Times New Roman"/>
      <w:szCs w:val="24"/>
      <w:lang w:eastAsia="es-CO"/>
    </w:rPr>
  </w:style>
  <w:style w:type="paragraph" w:styleId="Default" w:customStyle="1">
    <w:name w:val="Default"/>
    <w:rsid w:val="001C024B"/>
    <w:pPr>
      <w:autoSpaceDE w:val="0"/>
      <w:autoSpaceDN w:val="0"/>
      <w:adjustRightInd w:val="0"/>
      <w:spacing w:after="0" w:line="240" w:lineRule="auto"/>
    </w:pPr>
    <w:rPr>
      <w:rFonts w:ascii="Arial" w:hAnsi="Arial" w:cs="Arial"/>
      <w:color w:val="000000"/>
      <w:sz w:val="24"/>
      <w:szCs w:val="24"/>
    </w:rPr>
  </w:style>
  <w:style w:type="paragraph" w:styleId="Textoindependiente3">
    <w:name w:val="Body Text 3"/>
    <w:basedOn w:val="Normal"/>
    <w:link w:val="Textoindependiente3Car"/>
    <w:uiPriority w:val="99"/>
    <w:semiHidden/>
    <w:unhideWhenUsed/>
    <w:rsid w:val="0071006E"/>
    <w:pPr>
      <w:spacing w:after="120"/>
    </w:pPr>
    <w:rPr>
      <w:sz w:val="16"/>
      <w:szCs w:val="16"/>
    </w:rPr>
  </w:style>
  <w:style w:type="character" w:styleId="Textoindependiente3Car" w:customStyle="1">
    <w:name w:val="Texto independiente 3 Car"/>
    <w:basedOn w:val="Fuentedeprrafopredeter"/>
    <w:link w:val="Textoindependiente3"/>
    <w:uiPriority w:val="99"/>
    <w:semiHidden/>
    <w:rsid w:val="0071006E"/>
    <w:rPr>
      <w:rFonts w:ascii="Arial" w:hAnsi="Arial"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0465543">
      <w:bodyDiv w:val="1"/>
      <w:marLeft w:val="0"/>
      <w:marRight w:val="0"/>
      <w:marTop w:val="0"/>
      <w:marBottom w:val="0"/>
      <w:divBdr>
        <w:top w:val="none" w:sz="0" w:space="0" w:color="auto"/>
        <w:left w:val="none" w:sz="0" w:space="0" w:color="auto"/>
        <w:bottom w:val="none" w:sz="0" w:space="0" w:color="auto"/>
        <w:right w:val="none" w:sz="0" w:space="0" w:color="auto"/>
      </w:divBdr>
    </w:div>
    <w:div w:id="222717247">
      <w:bodyDiv w:val="1"/>
      <w:marLeft w:val="0"/>
      <w:marRight w:val="0"/>
      <w:marTop w:val="0"/>
      <w:marBottom w:val="0"/>
      <w:divBdr>
        <w:top w:val="none" w:sz="0" w:space="0" w:color="auto"/>
        <w:left w:val="none" w:sz="0" w:space="0" w:color="auto"/>
        <w:bottom w:val="none" w:sz="0" w:space="0" w:color="auto"/>
        <w:right w:val="none" w:sz="0" w:space="0" w:color="auto"/>
      </w:divBdr>
    </w:div>
    <w:div w:id="872619753">
      <w:bodyDiv w:val="1"/>
      <w:marLeft w:val="0"/>
      <w:marRight w:val="0"/>
      <w:marTop w:val="0"/>
      <w:marBottom w:val="0"/>
      <w:divBdr>
        <w:top w:val="none" w:sz="0" w:space="0" w:color="auto"/>
        <w:left w:val="none" w:sz="0" w:space="0" w:color="auto"/>
        <w:bottom w:val="none" w:sz="0" w:space="0" w:color="auto"/>
        <w:right w:val="none" w:sz="0" w:space="0" w:color="auto"/>
      </w:divBdr>
    </w:div>
    <w:div w:id="1018431044">
      <w:bodyDiv w:val="1"/>
      <w:marLeft w:val="0"/>
      <w:marRight w:val="0"/>
      <w:marTop w:val="0"/>
      <w:marBottom w:val="0"/>
      <w:divBdr>
        <w:top w:val="none" w:sz="0" w:space="0" w:color="auto"/>
        <w:left w:val="none" w:sz="0" w:space="0" w:color="auto"/>
        <w:bottom w:val="none" w:sz="0" w:space="0" w:color="auto"/>
        <w:right w:val="none" w:sz="0" w:space="0" w:color="auto"/>
      </w:divBdr>
    </w:div>
    <w:div w:id="1290286788">
      <w:bodyDiv w:val="1"/>
      <w:marLeft w:val="0"/>
      <w:marRight w:val="0"/>
      <w:marTop w:val="0"/>
      <w:marBottom w:val="0"/>
      <w:divBdr>
        <w:top w:val="none" w:sz="0" w:space="0" w:color="auto"/>
        <w:left w:val="none" w:sz="0" w:space="0" w:color="auto"/>
        <w:bottom w:val="none" w:sz="0" w:space="0" w:color="auto"/>
        <w:right w:val="none" w:sz="0" w:space="0" w:color="auto"/>
      </w:divBdr>
    </w:div>
    <w:div w:id="1340932652">
      <w:bodyDiv w:val="1"/>
      <w:marLeft w:val="0"/>
      <w:marRight w:val="0"/>
      <w:marTop w:val="0"/>
      <w:marBottom w:val="0"/>
      <w:divBdr>
        <w:top w:val="none" w:sz="0" w:space="0" w:color="auto"/>
        <w:left w:val="none" w:sz="0" w:space="0" w:color="auto"/>
        <w:bottom w:val="none" w:sz="0" w:space="0" w:color="auto"/>
        <w:right w:val="none" w:sz="0" w:space="0" w:color="auto"/>
      </w:divBdr>
    </w:div>
    <w:div w:id="1375424026">
      <w:bodyDiv w:val="1"/>
      <w:marLeft w:val="0"/>
      <w:marRight w:val="0"/>
      <w:marTop w:val="0"/>
      <w:marBottom w:val="0"/>
      <w:divBdr>
        <w:top w:val="none" w:sz="0" w:space="0" w:color="auto"/>
        <w:left w:val="none" w:sz="0" w:space="0" w:color="auto"/>
        <w:bottom w:val="none" w:sz="0" w:space="0" w:color="auto"/>
        <w:right w:val="none" w:sz="0" w:space="0" w:color="auto"/>
      </w:divBdr>
    </w:div>
    <w:div w:id="1704475986">
      <w:bodyDiv w:val="1"/>
      <w:marLeft w:val="0"/>
      <w:marRight w:val="0"/>
      <w:marTop w:val="0"/>
      <w:marBottom w:val="0"/>
      <w:divBdr>
        <w:top w:val="none" w:sz="0" w:space="0" w:color="auto"/>
        <w:left w:val="none" w:sz="0" w:space="0" w:color="auto"/>
        <w:bottom w:val="none" w:sz="0" w:space="0" w:color="auto"/>
        <w:right w:val="none" w:sz="0" w:space="0" w:color="auto"/>
      </w:divBdr>
    </w:div>
    <w:div w:id="1745449565">
      <w:bodyDiv w:val="1"/>
      <w:marLeft w:val="0"/>
      <w:marRight w:val="0"/>
      <w:marTop w:val="0"/>
      <w:marBottom w:val="0"/>
      <w:divBdr>
        <w:top w:val="none" w:sz="0" w:space="0" w:color="auto"/>
        <w:left w:val="none" w:sz="0" w:space="0" w:color="auto"/>
        <w:bottom w:val="none" w:sz="0" w:space="0" w:color="auto"/>
        <w:right w:val="none" w:sz="0" w:space="0" w:color="auto"/>
      </w:divBdr>
    </w:div>
    <w:div w:id="197158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B6E99F197AD64592D4C5471D80F0D8" ma:contentTypeVersion="20" ma:contentTypeDescription="Crear nuevo documento." ma:contentTypeScope="" ma:versionID="9b53e632aa26b86e519e440f7259eed8">
  <xsd:schema xmlns:xsd="http://www.w3.org/2001/XMLSchema" xmlns:xs="http://www.w3.org/2001/XMLSchema" xmlns:p="http://schemas.microsoft.com/office/2006/metadata/properties" xmlns:ns2="f5ff21b6-e9ef-49b6-bb70-296eeead8870" xmlns:ns3="1d22ca7f-6992-4f8a-9fd2-9f8d60e05b61" targetNamespace="http://schemas.microsoft.com/office/2006/metadata/properties" ma:root="true" ma:fieldsID="f7f0921476a6ae60b293105837d9d72a" ns2:_="" ns3:_="">
    <xsd:import namespace="f5ff21b6-e9ef-49b6-bb70-296eeead8870"/>
    <xsd:import namespace="1d22ca7f-6992-4f8a-9fd2-9f8d60e05b6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Fecha"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ff21b6-e9ef-49b6-bb70-296eeead8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0dc4aa63-3069-4f5e-8acb-986e2ea25e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echa" ma:index="25" nillable="true" ma:displayName="Fecha" ma:format="DateOnly" ma:internalName="Fecha">
      <xsd:simpleType>
        <xsd:restriction base="dms:DateTime"/>
      </xsd:simpleType>
    </xsd:element>
    <xsd:element name="MediaServiceLocation" ma:index="26" nillable="true" ma:displayName="Location" ma:descrip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22ca7f-6992-4f8a-9fd2-9f8d60e05b61"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138eff2c-4d5c-4e16-a16b-c7908ef43b04}" ma:internalName="TaxCatchAll" ma:showField="CatchAllData" ma:web="1d22ca7f-6992-4f8a-9fd2-9f8d60e05b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d22ca7f-6992-4f8a-9fd2-9f8d60e05b61" xsi:nil="true"/>
    <Fecha xmlns="f5ff21b6-e9ef-49b6-bb70-296eeead8870" xsi:nil="true"/>
    <lcf76f155ced4ddcb4097134ff3c332f xmlns="f5ff21b6-e9ef-49b6-bb70-296eeead88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2B1E04-9ACE-49F2-AA5E-99F97487888B}">
  <ds:schemaRefs>
    <ds:schemaRef ds:uri="http://schemas.openxmlformats.org/officeDocument/2006/bibliography"/>
  </ds:schemaRefs>
</ds:datastoreItem>
</file>

<file path=customXml/itemProps2.xml><?xml version="1.0" encoding="utf-8"?>
<ds:datastoreItem xmlns:ds="http://schemas.openxmlformats.org/officeDocument/2006/customXml" ds:itemID="{3758A233-5435-47BD-BE36-9FE726AF5422}"/>
</file>

<file path=customXml/itemProps3.xml><?xml version="1.0" encoding="utf-8"?>
<ds:datastoreItem xmlns:ds="http://schemas.openxmlformats.org/officeDocument/2006/customXml" ds:itemID="{F500977C-BF72-4310-9CAA-FA8BC5BF9C44}"/>
</file>

<file path=customXml/itemProps4.xml><?xml version="1.0" encoding="utf-8"?>
<ds:datastoreItem xmlns:ds="http://schemas.openxmlformats.org/officeDocument/2006/customXml" ds:itemID="{4B68860B-EDC3-4310-9F97-DB632EB686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CONSEJO SUPERIOR DE LA JUDICATURA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Daniela Martinez Guerrero</dc:creator>
  <cp:lastModifiedBy>Carlos Andres Cuastumal Patino</cp:lastModifiedBy>
  <cp:revision>3</cp:revision>
  <cp:lastPrinted>2022-03-23T21:49:00Z</cp:lastPrinted>
  <dcterms:created xsi:type="dcterms:W3CDTF">2022-09-08T13:40:00Z</dcterms:created>
  <dcterms:modified xsi:type="dcterms:W3CDTF">2025-12-17T14:42:29Z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0x0101006DB6E99F197AD64592D4C5471D80F0D8</vt:lpwstr>
  </property>
  <property fmtid="{D5CDD505-2E9C-101B-9397-08002B2CF9AE}" pid="3" name="MediaServiceImageTags">
    <vt:lpwstr/>
  </property>
</Properties>
</file>