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
        <w:rPr>
          <w:b/>
        </w:rPr>
        <w:t>I. ANTECEDENTES</w:t>
      </w:r>
    </w:p>
    <w:p>
      <w:r>
        <w:t>I. ANTECEDENTES</w:t>
        <w:br/>
        <w:br/>
        <w:t>Mediante informe secretarial del 20 de septiembre de 2024, se dejó constancia de la presentación de alegatos por parte del Ministerio de Hacienda y Crédito Público dentro del término de fijación del edicto, mientras que las demás autoridades involucradas y particulares interesados guardaron silencio. Posteriormente, el consejero ponente dictó auto para mejor proveer el 26 de septiembre de 2024, vinculando a la Unidad Administrativa Especial de Pensiones de Cundinamarca y requiriendo al departamento de Cundinamarca y a la E.S.E. Hospital San Antonio de Arbeláez (Cundinamarca) para que presentaran sus alegatos o consideraciones, dada la relevancia de sus pronunciamientos para la Sala.</w:t>
        <w:br/>
        <w:br/>
        <w:t>Según informe secretarial del 7 de octubre de 2024, tanto la E.S.E. Hospital San Antonio de Arbeláez (Cundinamarca) como la Unidad Administrativa Especial de Pensiones de Cundinamarca dieron respuesta al auto proferido por el consejero ponente. En sus intervenciones, dichas entidades expusieron argumentos relacionados con la competencia para el reconocimiento y pago del bono pensional solicitado por la señora Yanet Margarita González Cifuentes, quien laboró en el Hospital San Antonio de Arbeláez entre el 13 de febrero de 1984 y el 12 de febrero de 1985, periodo en el cual dicha institución hospitalaria operaba como una dependencia del extinto Servicio Seccional de Salud de Cundinamarca.</w:t>
        <w:br/>
        <w:br/>
        <w:t>La E.S.E. Hospital San Antonio de Arbeláez manifestó que no le corresponde asumir el pago del bono pensional solicitado, toda vez que, para la época de los servicios prestados por la señora González Cifuentes, el hospital no tenía personería jurídica propia y funcionaba como una dependencia del ente territorial. En consecuencia, señaló que la responsabilidad recae sobre el departamento de Cundinamarca, en calidad de entidad sucesora del extinto Servicio Seccional de Salud, conforme a lo dispuesto en el artículo 242 de la Ley 100 de 1993 y el artículo 78 de la Ley 1438 de 2011.</w:t>
        <w:br/>
        <w:br/>
        <w:t>Por su parte, la Unidad Administrativa Especial de Pensiones de Cundinamarca argumentó que no es responsable de la emisión ni del pago del bono pensional solicitado, dado que el Fondo de Pensiones Públicas de Cundinamarca no tiene registro de la señora González Cifuentes como beneficiaria en las bases de datos oficiales. Indicó que, de acuerdo con el artículo 242 de la Ley 100 de 1993 y el Decreto 586 de 2017, el compromiso de pago debe ser asumido por la E.S.E. Hospital San Antonio de Arbeláez, en calidad de empleador.</w:t>
        <w:br/>
        <w:br/>
        <w:t>El Ministerio de Hacienda y Crédito Público, en sus alegatos, solicitó su desvinculación del conflicto, argumentando que no tiene obligación alguna frente al reconocimiento y pago del bono pensional solicitado, dado que no es ni ha sido una Caja de Previsión Social. Señaló que la responsabilidad recae sobre el empleador, en este caso el Hospital San Antonio de Arbeláez, o, en su defecto, sobre el departamento de Cundinamarca, si se demuestra que los aportes fueron realizados a la Caja de Previsión Departamental.</w:t>
        <w:br/>
        <w:br/>
        <w:t>Finalmente, la Secretaría de Salud de Cundinamarca sostuvo que no tiene competencia para el reconocimiento y pago del bono pensional, toda vez que no fue empleadora de la señora González Cifuentes. Argumentó que, conforme al artículo 242 de la Ley 100 de 1993 y el Decreto 586 de 2017, la responsabilidad corresponde al hospital en calidad de empleador, hasta tanto se realice el corte de cuentas y se suscriba el contrato de concurrencia.</w:t>
      </w:r>
    </w:p>
    <w:p/>
    <w:p>
      <w:r>
        <w:rPr>
          <w:b/>
        </w:rPr>
        <w:t>II. CONSIDERACIONES</w:t>
      </w:r>
    </w:p>
    <w:p>
      <w:r>
        <w:t>II. CONSIDERACIONES</w:t>
        <w:br/>
        <w:br/>
        <w:t>De conformidad con los artículos 39 y 112, numeral 10, de la Ley 1437 de 2011, modificados por los artículos 2 y 19 de la Ley 2080 de 2021, la Sala de Consulta y Servicio Civil del Consejo de Estado está habilitada para resolver conflictos de competencia administrativa que involucren autoridades del orden nacional y territorial, o autoridades territoriales de distintos departamentos. En el presente caso, se cumplen los requisitos legales para que esta Sala emita un pronunciamiento de fondo, dado que: i) una de las autoridades en conflicto es del orden nacional, esto es, el Ministerio de Hacienda y Crédito Público; ii) se encuentra en curso una actuación administrativa particular y concreta, relacionada con la solicitud de reconocimiento y pago del bono pensional de la señora Nubia Adriana Rodríguez Roa, correspondiente al periodo laborado en el Hospital San Antonio de Arbelaéz (Cundinamarca) entre el 27 de febrero de 1990 y el 26 de febrero de 1991; y iii) las autoridades involucradas han negado su competencia para adelantar o continuar con la actuación administrativa.</w:t>
        <w:br/>
        <w:br/>
        <w:t>El conflicto surge debido a que la E.S.E. Hospital San Antonio de Arbelaéz (Cundinamarca) sostiene que no es responsable del pago del pasivo pensional de la señora Nubia Adriana Rodríguez Roa, argumentando que dicho pasivo corresponde a obligaciones generadas antes del 31 de diciembre de 1993, cuando el hospital no tenía personería jurídica propia y operaba como una dependencia del extinto Servicio Seccional de Salud de Cundinamarca. En consecuencia, afirma que la responsabilidad por los pasivos pensionales causados antes de 1993 recae sobre el ente territorial, en este caso, el departamento de Cundinamarca.</w:t>
        <w:br/>
        <w:br/>
        <w:t>Por su parte, la Unidad Administrativa Especial de Pensiones de Cundinamarca (UAEPC) ha manifestado que no es competente para la emisión ni el pago del bono pensional solicitado, aduciendo que el Fondo de Pensiones Públicas de Cundinamarca únicamente asume obligaciones pensionales de personal retirado al 31 de diciembre de 1993 que haya sido oportunamente reportado como beneficiario de dicho fondo. En este caso, la señora Nubia Adriana Rodríguez Roa no figura en las bases de datos oficiales avaladas por el Ministerio de Hacienda y Crédito Público y el Ministerio de Salud, razón por la cual el fondo no puede asumir la obligación.</w:t>
        <w:br/>
        <w:br/>
        <w:t>En virtud de lo anterior, corresponde a esta Sala determinar cuál es la autoridad competente para resolver de fondo la solicitud de reconocimiento y pago del bono pensional generado por el tiempo que la señora Nubia Adriana Rodríguez Roa laboró en el Hospital San Antonio de Arbelaéz (Cundinamarca), teniendo en cuenta los antecedentes fácticos y normativos expuestos en el expediente.</w:t>
      </w:r>
    </w:p>
    <w:p/>
    <w:p>
      <w:r>
        <w:rPr>
          <w:b/>
        </w:rPr>
        <w:t>III. PROBLEMA JURÍDICO</w:t>
      </w:r>
    </w:p>
    <w:p>
      <w:r>
        <w:t>III. PROBLEMA JURÍDICO</w:t>
        <w:br/>
        <w:br/>
        <w:t>El problema jurídico que debe resolver la Sala consiste en determinar cuál es la autoridad competente para conocer y decidir de fondo la solicitud de reconocimiento y pago del bono pensional generado por el tiempo laborado por la señora Yanet Margarita González Cifuentes en el Hospital San Antonio de Arbeláez (Cundinamarca), entre el 13 de febrero de 1984 y el 12 de febrero de 1985, teniendo en cuenta que dicho periodo corresponde a una época en la que el hospital no tenía personería jurídica propia y operaba como una dependencia del extinto Servicio Seccional de Salud de Cundinamarca.</w:t>
        <w:br/>
        <w:br/>
        <w:t>El conflicto surge debido a que la E.S.E. Hospital San Antonio de Arbeláez (Cundinamarca) sostiene que no es responsable del pago del pasivo pensional de la señora González Cifuentes, argumentando que las obligaciones generadas antes del 31 de diciembre de 1993 corresponden al ente territorial, en este caso el departamento de Cundinamarca, como sucesor del Servicio Seccional de Salud. Por su parte, la Unidad Administrativa Especial de Pensiones del departamento de Cundinamarca afirma que la responsabilidad recae sobre el hospital, en calidad de empleador, conforme a lo dispuesto en el artículo 242 de la Ley 100 de 1993 y el Decreto 586 de 2017, al no haberse efectuado el corte de cuentas ni suscrito el contrato de concurrencia correspondiente. Finalmente, el Ministerio de Hacienda y Crédito Público solicita su desvinculación del conflicto, al considerar que no tiene competencia ni obligación frente al reconocimiento y pago del bono pensional solicitado.</w:t>
      </w:r>
    </w:p>
    <w:p/>
    <w:p>
      <w:r>
        <w:rPr>
          <w:b/>
        </w:rPr>
        <w:t>IV. DECISIÓN</w:t>
      </w:r>
    </w:p>
    <w:p>
      <w:r>
        <w:t xml:space="preserve">IV. DECISIÓN  </w:t>
        <w:br/>
        <w:br/>
        <w:t xml:space="preserve">En mérito de lo expuesto, la Sala de Consulta y Servicio Civil del Consejo de Estado,  </w:t>
        <w:br/>
        <w:br/>
        <w:t xml:space="preserve">RESUELVE:  </w:t>
        <w:br/>
        <w:br/>
        <w:t xml:space="preserve">PRIMERO: DECLARAR competente al departamento de Cundinamarca, a través de la Unidad Administrativa Especial de Pensiones de Cundinamarca, para resolver la solicitud de reconocimiento y pago del bono pensional correspondiente al tiempo laborado por la señora Nubia Adriana Rodríguez Roa en el Hospital San Antonio de Arbeláez (Cundinamarca), comprendido entre el 27 de febrero de 1990 y el 26 de febrero de 1991.  </w:t>
        <w:br/>
        <w:br/>
        <w:t xml:space="preserve">SEGUNDO: REMITIR el expediente del conflicto a la Unidad Administrativa Especial de Pensiones del Departamento de Cundinamarca para los fines dispuestos en el numeral anterior.  </w:t>
        <w:br/>
        <w:br/>
        <w:t xml:space="preserve">TERCERO: COMUNICAR esta decisión a la E.S.E. Hospital San Antonio de Arbeláez, a la Gobernación del departamento de Cundinamarca, a la Secretaría de Salud del mismo departamento, a la Unidad Administrativa Especial de Pensiones del Departamento de Cundinamarca, al Ministerio de Hacienda y Crédito Público, y a la señora Nubia Adriana Rodríguez Roa.  </w:t>
        <w:br/>
        <w:br/>
        <w:t xml:space="preserve">CUARTO: ADVERTIR que contra la presente decisión no procede recurso alguno, tal como lo dispone expresamente el inciso 3° del artículo 39 del Código de Procedimiento Administrativo y de lo Contencioso Administrativo.  </w:t>
        <w:br/>
        <w:br/>
        <w:t xml:space="preserve">QUINTO: ADVERTIR que los términos legales a que esté sujeta la actuación administrativa en referencia se reanudarán o empezarán a correr a partir del día siguiente a aquel en que se comunique la presente decisión.  </w:t>
        <w:br/>
        <w:br/>
        <w:t xml:space="preserve">La anterior decisión se estudió y aprobó en la sesión de la fecha.  </w:t>
        <w:br/>
        <w:br/>
        <w:t>Comuníquese y cúmplase.</w:t>
      </w:r>
    </w:p>
    <w:p/>
    <w:sectPr w:rsidRPr="0098532D" w:rsidR="00CA23D4" w:rsidSect="00212166">
      <w:headerReference w:type="default" r:id="rId8"/>
      <w:footerReference w:type="even" r:id="rId9"/>
      <w:footerReference w:type="default" r:id="rId10"/>
      <w:headerReference w:type="first" r:id="rId11"/>
      <w:pgSz w:w="12240" w:h="15840" w:orient="portrait" w:code="1"/>
      <w:pgMar w:top="1985" w:right="1474" w:bottom="1304" w:left="1474" w:header="0" w:footer="141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22F47" w:rsidP="007F6989" w:rsidRDefault="00A22F47" w14:paraId="48B694D7" w14:textId="77777777">
      <w:pPr>
        <w:spacing w:after="0" w:line="240" w:lineRule="auto"/>
      </w:pPr>
      <w:r>
        <w:separator/>
      </w:r>
    </w:p>
  </w:endnote>
  <w:endnote w:type="continuationSeparator" w:id="0">
    <w:p w:rsidR="00A22F47" w:rsidP="007F6989" w:rsidRDefault="00A22F47" w14:paraId="7AE528E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8AE" w:rsidP="003541FE" w:rsidRDefault="001338AE" w14:paraId="4C21CB1A" w14:textId="77777777">
    <w:pPr>
      <w:pStyle w:val="Piedepgina"/>
      <w:framePr w:wrap="around" w:hAnchor="margin" w:vAnchor="text"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1338AE" w:rsidP="003541FE" w:rsidRDefault="001338AE" w14:paraId="4779955D" w14:textId="77777777">
    <w:pPr>
      <w:pStyle w:val="Piedepgina"/>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8AE" w:rsidP="003541FE" w:rsidRDefault="001338AE" w14:paraId="78A2FF83" w14:textId="77777777">
    <w:pPr>
      <w:pStyle w:val="Piedepgina"/>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22F47" w:rsidP="007F6989" w:rsidRDefault="00A22F47" w14:paraId="6CABD002" w14:textId="77777777">
      <w:pPr>
        <w:spacing w:after="0" w:line="240" w:lineRule="auto"/>
      </w:pPr>
      <w:r>
        <w:separator/>
      </w:r>
    </w:p>
  </w:footnote>
  <w:footnote w:type="continuationSeparator" w:id="0">
    <w:p w:rsidR="00A22F47" w:rsidP="007F6989" w:rsidRDefault="00A22F47" w14:paraId="415F23D4" w14:textId="77777777">
      <w:pPr>
        <w:spacing w:after="0" w:line="240" w:lineRule="auto"/>
      </w:pPr>
      <w:r>
        <w:continuationSeparator/>
      </w:r>
    </w:p>
  </w:footnote>
  <w:footnote w:id="1">
    <w:p w:rsidRPr="00922C38" w:rsidR="0098532D" w:rsidP="0098532D" w:rsidRDefault="0098532D" w14:paraId="4530A817" w14:textId="77777777">
      <w:pPr>
        <w:pStyle w:val="Textonotapie"/>
        <w:jc w:val="both"/>
        <w:rPr>
          <w:rFonts w:ascii="Arial" w:hAnsi="Arial" w:cs="Arial"/>
          <w:lang w:val="es-ES"/>
        </w:rPr>
      </w:pPr>
      <w:r w:rsidRPr="00922C38">
        <w:rPr>
          <w:rStyle w:val="Refdenotaalpie"/>
          <w:rFonts w:ascii="Arial" w:hAnsi="Arial" w:cs="Arial"/>
        </w:rPr>
        <w:footnoteRef/>
      </w:r>
      <w:r w:rsidRPr="00922C38">
        <w:rPr>
          <w:rFonts w:ascii="Arial" w:hAnsi="Arial" w:cs="Arial"/>
        </w:rPr>
        <w:t xml:space="preserve"> Ley 2080 de 2021</w:t>
      </w:r>
      <w:r w:rsidRPr="00922C38">
        <w:rPr>
          <w:rFonts w:ascii="Arial" w:hAnsi="Arial" w:cs="Arial"/>
          <w:lang w:val="es-MX"/>
        </w:rPr>
        <w:t xml:space="preserve"> (enero 25), </w:t>
      </w:r>
      <w:r w:rsidRPr="00922C38">
        <w:rPr>
          <w:rFonts w:ascii="Arial" w:hAnsi="Arial" w:cs="Arial"/>
        </w:rPr>
        <w:t>«Por medio de la cual se reforma el Código de Procedimiento Administrativo y de lo Contencioso Administrativo -Ley 1437 de 2011- y se dictan otras disposiciones en materia de descongestión en los procesos que se tramitan ante la Jurisdicción».</w:t>
      </w:r>
    </w:p>
  </w:footnote>
  <w:footnote w:id="2">
    <w:p w:rsidRPr="00922C38" w:rsidR="0098532D" w:rsidP="0098532D" w:rsidRDefault="0098532D" w14:paraId="76AD613B"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Archivo</w:t>
      </w:r>
      <w:r w:rsidRPr="00922C38">
        <w:rPr>
          <w:rFonts w:ascii="Arial" w:hAnsi="Arial" w:cs="Arial"/>
        </w:rPr>
        <w:t xml:space="preserve"> digital SAMAI, documento </w:t>
      </w:r>
      <w:r w:rsidRPr="00922C38">
        <w:rPr>
          <w:rFonts w:ascii="Arial" w:hAnsi="Arial" w:cs="Arial"/>
          <w:lang w:val="es-CO"/>
        </w:rPr>
        <w:t>7</w:t>
      </w:r>
      <w:r w:rsidRPr="00922C38">
        <w:rPr>
          <w:rFonts w:ascii="Arial" w:hAnsi="Arial" w:cs="Arial"/>
        </w:rPr>
        <w:t xml:space="preserve">, folio </w:t>
      </w:r>
      <w:r w:rsidRPr="00922C38">
        <w:rPr>
          <w:rFonts w:ascii="Arial" w:hAnsi="Arial" w:cs="Arial"/>
          <w:lang w:val="es-CO"/>
        </w:rPr>
        <w:t>32.</w:t>
      </w:r>
    </w:p>
  </w:footnote>
  <w:footnote w:id="3">
    <w:p w:rsidRPr="00922C38" w:rsidR="0098532D" w:rsidP="0098532D" w:rsidRDefault="0098532D" w14:paraId="7477FD55" w14:textId="77777777">
      <w:pPr>
        <w:pStyle w:val="Textonotapie"/>
        <w:jc w:val="both"/>
      </w:pPr>
      <w:r w:rsidRPr="00922C38">
        <w:rPr>
          <w:rStyle w:val="Refdenotaalpie"/>
          <w:rFonts w:ascii="Arial" w:hAnsi="Arial" w:cs="Arial"/>
        </w:rPr>
        <w:footnoteRef/>
      </w:r>
      <w:r w:rsidRPr="00922C38">
        <w:rPr>
          <w:rFonts w:ascii="Arial" w:hAnsi="Arial" w:cs="Arial"/>
        </w:rPr>
        <w:t xml:space="preserve"> El sistema de Certificación Electrónica de Tiempos Laborados</w:t>
      </w:r>
      <w:r w:rsidRPr="00922C38">
        <w:rPr>
          <w:rFonts w:ascii="Arial" w:hAnsi="Arial" w:cs="Arial"/>
          <w:lang w:val="es-CO"/>
        </w:rPr>
        <w:t xml:space="preserve"> - CETIL</w:t>
      </w:r>
      <w:r w:rsidRPr="00922C38">
        <w:rPr>
          <w:rFonts w:ascii="Arial" w:hAnsi="Arial" w:cs="Arial"/>
        </w:rPr>
        <w:t>, es el mecanismo a través del cual se expid</w:t>
      </w:r>
      <w:r w:rsidRPr="00922C38">
        <w:rPr>
          <w:rFonts w:ascii="Arial" w:hAnsi="Arial" w:cs="Arial"/>
          <w:lang w:val="es-CO"/>
        </w:rPr>
        <w:t>e</w:t>
      </w:r>
      <w:r w:rsidRPr="00922C38">
        <w:rPr>
          <w:rFonts w:ascii="Arial" w:hAnsi="Arial" w:cs="Arial"/>
        </w:rPr>
        <w:t xml:space="preserve"> todas las certificaciones de tiempos laborados y salarios por parte de las </w:t>
      </w:r>
      <w:r w:rsidRPr="00922C38">
        <w:rPr>
          <w:rFonts w:ascii="Arial" w:hAnsi="Arial" w:cs="Arial"/>
          <w:lang w:val="es-MX"/>
        </w:rPr>
        <w:t>instituciones</w:t>
      </w:r>
      <w:r w:rsidRPr="00922C38">
        <w:rPr>
          <w:rFonts w:ascii="Arial" w:hAnsi="Arial" w:cs="Arial"/>
        </w:rPr>
        <w:t xml:space="preserve"> públicas y privadas que ejerzan funciones públicas o cualquier otra entidad que deba expedir certificaciones de tiempos laborados o cotizados y salarios con el fin de ser aportadas </w:t>
      </w:r>
      <w:r w:rsidRPr="00922C38">
        <w:rPr>
          <w:rFonts w:ascii="Arial" w:hAnsi="Arial" w:cs="Arial"/>
          <w:lang w:val="es-MX"/>
        </w:rPr>
        <w:t>para reconocimiento de</w:t>
      </w:r>
      <w:r w:rsidRPr="00922C38">
        <w:rPr>
          <w:rFonts w:ascii="Arial" w:hAnsi="Arial" w:cs="Arial"/>
        </w:rPr>
        <w:t xml:space="preserve"> prestaciones pensionales a través del diligenciamiento de un formulario único electrónico.</w:t>
      </w:r>
    </w:p>
  </w:footnote>
  <w:footnote w:id="4">
    <w:p w:rsidRPr="00922C38" w:rsidR="0098532D" w:rsidP="0098532D" w:rsidRDefault="0098532D" w14:paraId="3A3E8B1C" w14:textId="77777777">
      <w:pPr>
        <w:pStyle w:val="Textonotapie"/>
        <w:jc w:val="both"/>
        <w:rPr>
          <w:rFonts w:ascii="Arial" w:hAnsi="Arial" w:cs="Arial"/>
        </w:rPr>
      </w:pPr>
      <w:r w:rsidRPr="00922C38">
        <w:rPr>
          <w:rStyle w:val="Refdenotaalpie"/>
        </w:rPr>
        <w:footnoteRef/>
      </w:r>
      <w:r w:rsidRPr="00922C38">
        <w:t xml:space="preserve"> </w:t>
      </w:r>
      <w:r w:rsidRPr="00922C38">
        <w:rPr>
          <w:rFonts w:ascii="Arial" w:hAnsi="Arial" w:cs="Arial"/>
        </w:rPr>
        <w:t xml:space="preserve">Según </w:t>
      </w:r>
      <w:r w:rsidRPr="00922C38">
        <w:rPr>
          <w:rFonts w:ascii="Arial" w:hAnsi="Arial" w:cs="Arial"/>
          <w:lang w:val="es-CO"/>
        </w:rPr>
        <w:t>certificación electrónica de tiempos laborados CETIL</w:t>
      </w:r>
      <w:r w:rsidRPr="00922C38">
        <w:rPr>
          <w:rFonts w:ascii="Arial" w:hAnsi="Arial" w:cs="Arial"/>
        </w:rPr>
        <w:t xml:space="preserve"> </w:t>
      </w:r>
      <w:r w:rsidRPr="00922C38">
        <w:rPr>
          <w:rFonts w:ascii="Arial" w:hAnsi="Arial" w:cs="Arial"/>
          <w:lang w:val="es-CO"/>
        </w:rPr>
        <w:t xml:space="preserve">del 14 de abril de 2020 </w:t>
      </w:r>
      <w:r w:rsidRPr="00922C38">
        <w:rPr>
          <w:rFonts w:ascii="Arial" w:hAnsi="Arial" w:cs="Arial"/>
        </w:rPr>
        <w:t>(</w:t>
      </w:r>
      <w:r w:rsidRPr="00922C38">
        <w:rPr>
          <w:rFonts w:ascii="Arial" w:hAnsi="Arial" w:cs="Arial"/>
          <w:lang w:val="es-CO"/>
        </w:rPr>
        <w:t>Archivo</w:t>
      </w:r>
      <w:r w:rsidRPr="00922C38">
        <w:rPr>
          <w:rFonts w:ascii="Arial" w:hAnsi="Arial" w:cs="Arial"/>
        </w:rPr>
        <w:t xml:space="preserve"> digital SAMAI, documento </w:t>
      </w:r>
      <w:r w:rsidRPr="00922C38">
        <w:rPr>
          <w:rFonts w:ascii="Arial" w:hAnsi="Arial" w:cs="Arial"/>
          <w:lang w:val="es-CO"/>
        </w:rPr>
        <w:t>4</w:t>
      </w:r>
      <w:r w:rsidRPr="00922C38">
        <w:rPr>
          <w:rFonts w:ascii="Arial" w:hAnsi="Arial" w:cs="Arial"/>
        </w:rPr>
        <w:t>, folio</w:t>
      </w:r>
      <w:r w:rsidRPr="00922C38">
        <w:rPr>
          <w:rFonts w:ascii="Arial" w:hAnsi="Arial" w:cs="Arial"/>
          <w:lang w:val="es-CO"/>
        </w:rPr>
        <w:t>s 1 al 20</w:t>
      </w:r>
      <w:r w:rsidRPr="00922C38">
        <w:rPr>
          <w:rFonts w:ascii="Arial" w:hAnsi="Arial" w:cs="Arial"/>
        </w:rPr>
        <w:t>).</w:t>
      </w:r>
    </w:p>
  </w:footnote>
  <w:footnote w:id="5">
    <w:p w:rsidRPr="00922C38" w:rsidR="0098532D" w:rsidP="0098532D" w:rsidRDefault="0098532D" w14:paraId="0C6B73F0" w14:textId="77777777">
      <w:pPr>
        <w:pStyle w:val="Textonotapie"/>
        <w:jc w:val="both"/>
      </w:pPr>
      <w:r w:rsidRPr="00922C38">
        <w:rPr>
          <w:rStyle w:val="Refdenotaalpie"/>
        </w:rPr>
        <w:footnoteRef/>
      </w:r>
      <w:r w:rsidRPr="00922C38">
        <w:t xml:space="preserve"> </w:t>
      </w:r>
      <w:r w:rsidRPr="00922C38">
        <w:rPr>
          <w:rFonts w:ascii="Arial" w:hAnsi="Arial" w:cs="Arial"/>
        </w:rPr>
        <w:t xml:space="preserve">Según </w:t>
      </w:r>
      <w:r w:rsidRPr="00922C38">
        <w:rPr>
          <w:rFonts w:ascii="Arial" w:hAnsi="Arial" w:cs="Arial"/>
          <w:lang w:val="es-CO"/>
        </w:rPr>
        <w:t>certificación electrónica de tiempos laborados emitida por Colpensiones</w:t>
      </w:r>
      <w:r w:rsidRPr="00922C38">
        <w:rPr>
          <w:rFonts w:ascii="Arial" w:hAnsi="Arial" w:cs="Arial"/>
        </w:rPr>
        <w:t xml:space="preserve"> </w:t>
      </w:r>
      <w:r w:rsidRPr="00922C38">
        <w:rPr>
          <w:rFonts w:ascii="Arial" w:hAnsi="Arial" w:cs="Arial"/>
          <w:lang w:val="es-CO"/>
        </w:rPr>
        <w:t xml:space="preserve">del 26 de octubre de 2020 </w:t>
      </w:r>
      <w:r w:rsidRPr="00922C38">
        <w:rPr>
          <w:rFonts w:ascii="Arial" w:hAnsi="Arial" w:cs="Arial"/>
        </w:rPr>
        <w:t>(</w:t>
      </w:r>
      <w:r w:rsidRPr="00922C38">
        <w:rPr>
          <w:rFonts w:ascii="Arial" w:hAnsi="Arial" w:cs="Arial"/>
          <w:lang w:val="es-CO"/>
        </w:rPr>
        <w:t>Archivo</w:t>
      </w:r>
      <w:r w:rsidRPr="00922C38">
        <w:rPr>
          <w:rFonts w:ascii="Arial" w:hAnsi="Arial" w:cs="Arial"/>
        </w:rPr>
        <w:t xml:space="preserve"> digital SAMAI, documento </w:t>
      </w:r>
      <w:r w:rsidRPr="00922C38">
        <w:rPr>
          <w:rFonts w:ascii="Arial" w:hAnsi="Arial" w:cs="Arial"/>
          <w:lang w:val="es-CO"/>
        </w:rPr>
        <w:t>6</w:t>
      </w:r>
      <w:r w:rsidRPr="00922C38">
        <w:rPr>
          <w:rFonts w:ascii="Arial" w:hAnsi="Arial" w:cs="Arial"/>
        </w:rPr>
        <w:t>, folio</w:t>
      </w:r>
      <w:r w:rsidRPr="00922C38">
        <w:rPr>
          <w:rFonts w:ascii="Arial" w:hAnsi="Arial" w:cs="Arial"/>
          <w:lang w:val="es-CO"/>
        </w:rPr>
        <w:t>s 7 y 8</w:t>
      </w:r>
      <w:r w:rsidRPr="00922C38">
        <w:rPr>
          <w:rFonts w:ascii="Arial" w:hAnsi="Arial" w:cs="Arial"/>
        </w:rPr>
        <w:t>).</w:t>
      </w:r>
    </w:p>
  </w:footnote>
  <w:footnote w:id="6">
    <w:p w:rsidRPr="00922C38" w:rsidR="0098532D" w:rsidP="0098532D" w:rsidRDefault="0098532D" w14:paraId="114B6B99" w14:textId="77777777">
      <w:pPr>
        <w:pStyle w:val="Textonotapie"/>
        <w:jc w:val="both"/>
        <w:rPr>
          <w:lang w:val="es-CO"/>
        </w:rPr>
      </w:pPr>
      <w:r w:rsidRPr="00922C38">
        <w:rPr>
          <w:rStyle w:val="Refdenotaalpie"/>
          <w:rFonts w:ascii="Arial" w:hAnsi="Arial" w:cs="Arial"/>
        </w:rPr>
        <w:footnoteRef/>
      </w:r>
      <w:r w:rsidRPr="00922C38">
        <w:rPr>
          <w:rFonts w:ascii="Arial" w:hAnsi="Arial" w:cs="Arial"/>
        </w:rPr>
        <w:t xml:space="preserve"> Archivo digital SAMAI, documento 6, folio</w:t>
      </w:r>
      <w:r w:rsidRPr="00922C38">
        <w:rPr>
          <w:rFonts w:ascii="Arial" w:hAnsi="Arial" w:cs="Arial"/>
          <w:lang w:val="es-CO"/>
        </w:rPr>
        <w:t>s 13 al 16</w:t>
      </w:r>
      <w:r w:rsidRPr="00922C38">
        <w:rPr>
          <w:rFonts w:cs="Arial"/>
          <w:lang w:val="es-CO"/>
        </w:rPr>
        <w:t xml:space="preserve"> </w:t>
      </w:r>
    </w:p>
  </w:footnote>
  <w:footnote w:id="7">
    <w:p w:rsidRPr="00922C38" w:rsidR="0098532D" w:rsidP="0098532D" w:rsidRDefault="0098532D" w14:paraId="156B82E8"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Archivo digital SAMAI documento1.</w:t>
      </w:r>
    </w:p>
  </w:footnote>
  <w:footnote w:id="8">
    <w:p w:rsidRPr="00922C38" w:rsidR="0098532D" w:rsidP="0098532D" w:rsidRDefault="0098532D" w14:paraId="5889CC35" w14:textId="77777777">
      <w:pPr>
        <w:pStyle w:val="Textonotapie"/>
        <w:jc w:val="both"/>
        <w:rPr>
          <w:rFonts w:ascii="Arial" w:hAnsi="Arial" w:cs="Arial"/>
          <w:lang w:val="es-ES"/>
        </w:rPr>
      </w:pPr>
      <w:r w:rsidRPr="00922C38">
        <w:rPr>
          <w:rStyle w:val="Refdenotaalpie"/>
          <w:rFonts w:ascii="Arial" w:hAnsi="Arial" w:cs="Arial"/>
        </w:rPr>
        <w:footnoteRef/>
      </w:r>
      <w:r w:rsidRPr="00922C38">
        <w:rPr>
          <w:rFonts w:ascii="Arial" w:hAnsi="Arial" w:cs="Arial"/>
        </w:rPr>
        <w:t xml:space="preserve"> Archivo digital SAMAI, documento 11.</w:t>
      </w:r>
    </w:p>
  </w:footnote>
  <w:footnote w:id="9">
    <w:p w:rsidRPr="00922C38" w:rsidR="0098532D" w:rsidP="0098532D" w:rsidRDefault="0098532D" w14:paraId="396BE37F"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A</w:t>
      </w:r>
      <w:r w:rsidRPr="00922C38">
        <w:rPr>
          <w:rFonts w:ascii="Arial" w:hAnsi="Arial" w:cs="Arial"/>
        </w:rPr>
        <w:t xml:space="preserve">rchivo digital SAMAI, documento </w:t>
      </w:r>
      <w:r w:rsidRPr="00922C38">
        <w:rPr>
          <w:rFonts w:ascii="Arial" w:hAnsi="Arial" w:cs="Arial"/>
          <w:lang w:val="es-CO"/>
        </w:rPr>
        <w:t>7.</w:t>
      </w:r>
    </w:p>
  </w:footnote>
  <w:footnote w:id="10">
    <w:p w:rsidRPr="00922C38" w:rsidR="0098532D" w:rsidP="0098532D" w:rsidRDefault="0098532D" w14:paraId="7B035B98"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lang w:val="es-CO"/>
        </w:rPr>
        <w:t>A</w:t>
      </w:r>
      <w:r w:rsidRPr="00922C38">
        <w:rPr>
          <w:rFonts w:ascii="Arial" w:hAnsi="Arial" w:cs="Arial"/>
        </w:rPr>
        <w:t xml:space="preserve">rchivo digital SAMAI, documento </w:t>
      </w:r>
      <w:r w:rsidRPr="00922C38">
        <w:rPr>
          <w:rFonts w:ascii="Arial" w:hAnsi="Arial" w:cs="Arial"/>
          <w:lang w:val="es-CO"/>
        </w:rPr>
        <w:t>1</w:t>
      </w:r>
      <w:r w:rsidRPr="00922C38">
        <w:rPr>
          <w:rFonts w:ascii="Arial" w:hAnsi="Arial" w:cs="Arial"/>
        </w:rPr>
        <w:t>4</w:t>
      </w:r>
      <w:r w:rsidRPr="00922C38">
        <w:rPr>
          <w:rFonts w:ascii="Arial" w:hAnsi="Arial" w:cs="Arial"/>
          <w:lang w:val="es-CO"/>
        </w:rPr>
        <w:t>.</w:t>
      </w:r>
    </w:p>
  </w:footnote>
  <w:footnote w:id="11">
    <w:p w:rsidRPr="00922C38" w:rsidR="0098532D" w:rsidP="0098532D" w:rsidRDefault="0098532D" w14:paraId="4ADDDBF7"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De ahora en adelante UGPP.</w:t>
      </w:r>
    </w:p>
  </w:footnote>
  <w:footnote w:id="12">
    <w:p w:rsidRPr="00922C38" w:rsidR="0098532D" w:rsidP="0098532D" w:rsidRDefault="0098532D" w14:paraId="3C4C7569" w14:textId="77777777">
      <w:pPr>
        <w:pStyle w:val="Textonotapie"/>
        <w:jc w:val="both"/>
        <w:rPr>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bCs/>
        </w:rPr>
        <w:t>A</w:t>
      </w:r>
      <w:r w:rsidRPr="00922C38">
        <w:rPr>
          <w:rFonts w:ascii="Arial" w:hAnsi="Arial" w:cs="Arial"/>
        </w:rPr>
        <w:t>rtículo 34. Procedimiento administrativo común y principal. Las actuaciones administrativas se sujetarán al procedimiento administrativo común y principal que se establece en este Código, sin perjuicio de los procedimientos administrativos regulados por leyes especiales. En lo no previsto en dichas leyes se aplicarán las disposiciones de esta Parte Primera del Código.</w:t>
      </w:r>
      <w:r w:rsidRPr="00922C38">
        <w:rPr>
          <w:lang w:val="es-CO"/>
        </w:rPr>
        <w:t xml:space="preserve"> </w:t>
      </w:r>
    </w:p>
  </w:footnote>
  <w:footnote w:id="13">
    <w:p w:rsidRPr="00922C38" w:rsidR="0098532D" w:rsidP="0098532D" w:rsidRDefault="0098532D" w14:paraId="5C411F73" w14:textId="77777777">
      <w:pPr>
        <w:pStyle w:val="Textonotapie"/>
        <w:mirrorIndents/>
        <w:jc w:val="both"/>
        <w:rPr>
          <w:rFonts w:ascii="Arial" w:hAnsi="Arial" w:cs="Arial"/>
        </w:rPr>
      </w:pPr>
      <w:r w:rsidRPr="00922C38">
        <w:rPr>
          <w:rStyle w:val="Refdenotaalpie"/>
          <w:rFonts w:ascii="Arial" w:hAnsi="Arial" w:cs="Arial" w:eastAsiaTheme="majorEastAsia"/>
        </w:rPr>
        <w:footnoteRef/>
      </w:r>
      <w:r w:rsidRPr="00922C38">
        <w:rPr>
          <w:rFonts w:ascii="Arial" w:hAnsi="Arial" w:cs="Arial"/>
        </w:rPr>
        <w:t>La remisión al artículo 14 del CPACA debe entenderse hecha al artículo 1</w:t>
      </w:r>
      <w:r w:rsidRPr="00922C38">
        <w:rPr>
          <w:rFonts w:ascii="Arial" w:hAnsi="Arial" w:cs="Arial"/>
          <w:lang w:val="es-CO"/>
        </w:rPr>
        <w:t>º</w:t>
      </w:r>
      <w:r w:rsidRPr="00922C38">
        <w:rPr>
          <w:rFonts w:ascii="Arial" w:hAnsi="Arial" w:cs="Arial"/>
        </w:rPr>
        <w:t xml:space="preserve"> de la Ley Estatutaria 1755 de 2015. </w:t>
      </w:r>
    </w:p>
  </w:footnote>
  <w:footnote w:id="14">
    <w:p w:rsidRPr="00922C38" w:rsidR="0098532D" w:rsidP="0098532D" w:rsidRDefault="0098532D" w14:paraId="4960649B"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Entre otras decisiones de la Sala: del </w:t>
      </w:r>
      <w:r w:rsidRPr="00922C38">
        <w:rPr>
          <w:rFonts w:ascii="Arial" w:hAnsi="Arial" w:cs="Arial"/>
          <w:lang w:val="es-CO"/>
        </w:rPr>
        <w:t xml:space="preserve">31 de marzo de 2022, Rad. </w:t>
      </w:r>
      <w:r w:rsidRPr="00922C38">
        <w:rPr>
          <w:rFonts w:ascii="Arial" w:hAnsi="Arial" w:cs="Arial"/>
        </w:rPr>
        <w:t>11001-03-06-000-20</w:t>
      </w:r>
      <w:r w:rsidRPr="00922C38">
        <w:rPr>
          <w:rFonts w:ascii="Arial" w:hAnsi="Arial" w:cs="Arial"/>
          <w:lang w:val="es-CO"/>
        </w:rPr>
        <w:t>21</w:t>
      </w:r>
      <w:r w:rsidRPr="00922C38">
        <w:rPr>
          <w:rFonts w:ascii="Arial" w:hAnsi="Arial" w:cs="Arial"/>
        </w:rPr>
        <w:t>-00</w:t>
      </w:r>
      <w:r w:rsidRPr="00922C38">
        <w:rPr>
          <w:rFonts w:ascii="Arial" w:hAnsi="Arial" w:cs="Arial"/>
          <w:lang w:val="es-CO"/>
        </w:rPr>
        <w:t>180</w:t>
      </w:r>
      <w:r w:rsidRPr="00922C38">
        <w:rPr>
          <w:rFonts w:ascii="Arial" w:hAnsi="Arial" w:cs="Arial"/>
        </w:rPr>
        <w:t>-00</w:t>
      </w:r>
      <w:r w:rsidRPr="00922C38">
        <w:rPr>
          <w:rFonts w:ascii="Arial" w:hAnsi="Arial" w:cs="Arial"/>
          <w:lang w:val="es-CO"/>
        </w:rPr>
        <w:t xml:space="preserve">, del </w:t>
      </w:r>
      <w:r w:rsidRPr="00922C38">
        <w:rPr>
          <w:rFonts w:ascii="Arial" w:hAnsi="Arial" w:cs="Arial"/>
        </w:rPr>
        <w:t>5 de marzo de 2019, Rad. núm. 11001-03-06-000-2018-00246-00</w:t>
      </w:r>
      <w:r w:rsidRPr="00026EBA">
        <w:rPr>
          <w:rFonts w:ascii="Arial" w:hAnsi="Arial" w:cs="Arial"/>
          <w:highlight w:val="magenta"/>
        </w:rPr>
        <w:t>;</w:t>
      </w:r>
      <w:r>
        <w:rPr>
          <w:rFonts w:ascii="Arial" w:hAnsi="Arial" w:cs="Arial"/>
          <w:lang w:val="es-ES"/>
        </w:rPr>
        <w:t xml:space="preserve"> </w:t>
      </w:r>
      <w:r w:rsidRPr="00922C38">
        <w:rPr>
          <w:rFonts w:ascii="Arial" w:hAnsi="Arial" w:cs="Arial"/>
          <w:lang w:val="es-CO"/>
        </w:rPr>
        <w:t>entre otras</w:t>
      </w:r>
      <w:r w:rsidRPr="00922C38">
        <w:rPr>
          <w:rFonts w:ascii="Arial" w:hAnsi="Arial" w:cs="Arial"/>
        </w:rPr>
        <w:t>.</w:t>
      </w:r>
    </w:p>
  </w:footnote>
  <w:footnote w:id="15">
    <w:p w:rsidRPr="00922C38" w:rsidR="0098532D" w:rsidP="0098532D" w:rsidRDefault="0098532D" w14:paraId="12006262"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Ley 100 de 1993 (diciembre 23) «Por la cual se crea el sistema de seguridad social integral y se dictan otras disposiciones». </w:t>
      </w:r>
    </w:p>
  </w:footnote>
  <w:footnote w:id="16">
    <w:p w:rsidRPr="00922C38" w:rsidR="0098532D" w:rsidP="0098532D" w:rsidRDefault="0098532D" w14:paraId="33CAF570"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Ley 100/93, artículo 11 (texto original): «El Sistema General de Pensiones, con las excepciones previstas en el artículo 279 de la presente ley, se aplicará a todos los habitantes del territorio nacional, conservando adicionalmente todos los derechos, garantías, prerrogativas, servicios y beneficios adquiridos y establecidos conforme a disposiciones normativas anteriores para quienes a la fecha de vigencia de esta ley hayan cumplido los requisitos para acceder a una pensión o se encuentren pensionados por jubilación, vejez, invalidez, sustitución o sobrevivientes de los sectores público, oficial, semioficial, en todos sus órdenes, del Instituto de Seguros Sociales y del sector privado en general. / Para efectos de este artículo se respetarán y por tanto mantendrán su vigencia los derechos adquiridos conforme a disposiciones normativas anteriores, pacto o convención colectiva de trabajo./Lo anterior será sin perjuicio del derecho de denuncia que le asiste a las partes y de que el tribunal de arbitramento dirima las diferencias entre las partes»</w:t>
      </w:r>
      <w:r w:rsidRPr="00922C38">
        <w:rPr>
          <w:rFonts w:ascii="Arial" w:hAnsi="Arial" w:cs="Arial"/>
          <w:lang w:val="es-CO"/>
        </w:rPr>
        <w:t>.</w:t>
      </w:r>
    </w:p>
  </w:footnote>
  <w:footnote w:id="17">
    <w:p w:rsidRPr="00922C38" w:rsidR="0098532D" w:rsidP="0098532D" w:rsidRDefault="0098532D" w14:paraId="0C368722"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Ley 100, artículo 12: «REGÍMENES DEL SISTEMA GENERAL DE PENSIONES. El Sistema General de Pensiones está compuesto por dos regímenes solidarios excluyentes pero que coexisten, a saber: a. Régimen Solidario de Prima Media con Prestación Definida. / b. Régimen de Ahorro Individual con Solidaridad»</w:t>
      </w:r>
      <w:r w:rsidRPr="00922C38">
        <w:rPr>
          <w:rFonts w:ascii="Arial" w:hAnsi="Arial" w:cs="Arial"/>
          <w:lang w:val="es-CO"/>
        </w:rPr>
        <w:t>.</w:t>
      </w:r>
    </w:p>
  </w:footnote>
  <w:footnote w:id="18">
    <w:p w:rsidRPr="00922C38" w:rsidR="0098532D" w:rsidP="0098532D" w:rsidRDefault="0098532D" w14:paraId="22EAD4BB" w14:textId="77777777">
      <w:pPr>
        <w:pStyle w:val="Textonotapie"/>
        <w:jc w:val="both"/>
      </w:pPr>
      <w:r w:rsidRPr="00922C38">
        <w:rPr>
          <w:rStyle w:val="Refdenotaalpie"/>
          <w:rFonts w:ascii="Arial" w:hAnsi="Arial" w:cs="Arial"/>
        </w:rPr>
        <w:footnoteRef/>
      </w:r>
      <w:r w:rsidRPr="00922C38">
        <w:rPr>
          <w:rFonts w:ascii="Arial" w:hAnsi="Arial" w:cs="Arial"/>
        </w:rPr>
        <w:t xml:space="preserve"> Consejo de Estado, Sala de Consulta y Servicio Civil,: del </w:t>
      </w:r>
      <w:r w:rsidRPr="00922C38">
        <w:rPr>
          <w:rFonts w:ascii="Arial" w:hAnsi="Arial" w:cs="Arial"/>
          <w:lang w:val="es-CO"/>
        </w:rPr>
        <w:t xml:space="preserve">31 de marzo de 2022, Rad. </w:t>
      </w:r>
      <w:r w:rsidRPr="00922C38">
        <w:rPr>
          <w:rFonts w:ascii="Arial" w:hAnsi="Arial" w:cs="Arial"/>
        </w:rPr>
        <w:t>11001-03-06-000-20</w:t>
      </w:r>
      <w:r w:rsidRPr="00922C38">
        <w:rPr>
          <w:rFonts w:ascii="Arial" w:hAnsi="Arial" w:cs="Arial"/>
          <w:lang w:val="es-CO"/>
        </w:rPr>
        <w:t>21</w:t>
      </w:r>
      <w:r w:rsidRPr="00922C38">
        <w:rPr>
          <w:rFonts w:ascii="Arial" w:hAnsi="Arial" w:cs="Arial"/>
        </w:rPr>
        <w:t>-00</w:t>
      </w:r>
      <w:r w:rsidRPr="00922C38">
        <w:rPr>
          <w:rFonts w:ascii="Arial" w:hAnsi="Arial" w:cs="Arial"/>
          <w:lang w:val="es-CO"/>
        </w:rPr>
        <w:t>180</w:t>
      </w:r>
      <w:r w:rsidRPr="00922C38">
        <w:rPr>
          <w:rFonts w:ascii="Arial" w:hAnsi="Arial" w:cs="Arial"/>
        </w:rPr>
        <w:t>-0</w:t>
      </w:r>
      <w:r w:rsidRPr="00922C38">
        <w:rPr>
          <w:rFonts w:ascii="Arial" w:hAnsi="Arial" w:cs="Arial"/>
          <w:lang w:val="es-CO"/>
        </w:rPr>
        <w:t>, del</w:t>
      </w:r>
      <w:r w:rsidRPr="00922C38">
        <w:rPr>
          <w:rFonts w:ascii="Arial" w:hAnsi="Arial" w:cs="Arial"/>
        </w:rPr>
        <w:t>15 de diciembre de 2016, Rad. núm</w:t>
      </w:r>
      <w:r w:rsidRPr="00026EBA">
        <w:rPr>
          <w:rFonts w:ascii="Arial" w:hAnsi="Arial" w:cs="Arial"/>
          <w:highlight w:val="magenta"/>
        </w:rPr>
        <w:t>.</w:t>
      </w:r>
      <w:r>
        <w:rPr>
          <w:rFonts w:ascii="Arial" w:hAnsi="Arial" w:cs="Arial"/>
          <w:lang w:val="es-ES"/>
        </w:rPr>
        <w:t xml:space="preserve"> </w:t>
      </w:r>
      <w:r w:rsidRPr="00922C38">
        <w:rPr>
          <w:rFonts w:ascii="Arial" w:hAnsi="Arial" w:cs="Arial"/>
        </w:rPr>
        <w:t>11001-03-06-000-2016-00224;.</w:t>
      </w:r>
      <w:r w:rsidRPr="00922C38">
        <w:t xml:space="preserve"> </w:t>
      </w:r>
    </w:p>
  </w:footnote>
  <w:footnote w:id="19">
    <w:p w:rsidRPr="00922C38" w:rsidR="0098532D" w:rsidP="0098532D" w:rsidRDefault="0098532D" w14:paraId="25EFD84F" w14:textId="77777777">
      <w:pPr>
        <w:pStyle w:val="Textonotapie"/>
        <w:jc w:val="both"/>
        <w:rPr>
          <w:rFonts w:ascii="Arial" w:hAnsi="Arial" w:cs="Arial"/>
          <w:i/>
          <w:lang w:val="es-CO"/>
        </w:rPr>
      </w:pPr>
      <w:r w:rsidRPr="00922C38">
        <w:rPr>
          <w:rStyle w:val="Refdenotaalpie"/>
          <w:rFonts w:ascii="Arial" w:hAnsi="Arial" w:cs="Arial"/>
        </w:rPr>
        <w:footnoteRef/>
      </w:r>
      <w:r w:rsidRPr="00922C38">
        <w:rPr>
          <w:rFonts w:ascii="Arial" w:hAnsi="Arial" w:cs="Arial"/>
          <w:i/>
        </w:rPr>
        <w:t xml:space="preserve"> </w:t>
      </w:r>
      <w:r w:rsidRPr="00922C38">
        <w:rPr>
          <w:rFonts w:ascii="Arial" w:hAnsi="Arial" w:cs="Arial"/>
        </w:rPr>
        <w:t>Ley 100 de 1993, Artículo 151. «Vigencia del sistema general de pensiones. El sistema general de pensiones previsto en la presente ley, regirá a partir del 1º de abril de 1994. No obstante, el gobierno podrá autorizar el funcionamiento de las administradoras de los fondos de pensiones y de cesantía con sujeción a las disposiciones contempladas en la presente ley, a partir de la vigencia de la misma. / Parágrafo. El sistema general de pensiones para los servidores públicos del nivel departamental, municipal y distrital, entrará a regir a más tardar el 30 de junio de 1995, en la fecha que así lo determine la respectiva autoridad gubernamental»</w:t>
      </w:r>
      <w:r w:rsidRPr="00922C38">
        <w:rPr>
          <w:rFonts w:ascii="Arial" w:hAnsi="Arial" w:cs="Arial"/>
          <w:lang w:val="es-CO"/>
        </w:rPr>
        <w:t>.</w:t>
      </w:r>
    </w:p>
  </w:footnote>
  <w:footnote w:id="20">
    <w:p w:rsidRPr="00922C38" w:rsidR="0098532D" w:rsidP="0098532D" w:rsidRDefault="0098532D" w14:paraId="7D4A2863" w14:textId="77777777">
      <w:pPr>
        <w:pStyle w:val="Textonotapie"/>
        <w:jc w:val="both"/>
      </w:pPr>
      <w:r w:rsidRPr="00922C38">
        <w:rPr>
          <w:rStyle w:val="Refdenotaalpie"/>
          <w:rFonts w:ascii="Arial" w:hAnsi="Arial" w:cs="Arial"/>
        </w:rPr>
        <w:footnoteRef/>
      </w:r>
      <w:r w:rsidRPr="00922C38">
        <w:rPr>
          <w:rFonts w:ascii="Arial" w:hAnsi="Arial" w:cs="Arial"/>
        </w:rPr>
        <w:t xml:space="preserve"> Acto Legislativo 01 de 2005 (julio 22) «Por el cual se adiciona el artículo 48 de la Constitución Política».</w:t>
      </w:r>
      <w:r w:rsidRPr="00922C38">
        <w:t xml:space="preserve"> </w:t>
      </w:r>
    </w:p>
  </w:footnote>
  <w:footnote w:id="21">
    <w:p w:rsidRPr="00922C38" w:rsidR="0098532D" w:rsidP="0098532D" w:rsidRDefault="0098532D" w14:paraId="20FC4811"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A. L. 01/05.  Artículo 2o. «El presente acto legislativo rige a partir de la fecha de su publicación»</w:t>
      </w:r>
      <w:r w:rsidRPr="00922C38">
        <w:rPr>
          <w:rFonts w:ascii="Arial" w:hAnsi="Arial" w:cs="Arial"/>
          <w:lang w:val="es-CO"/>
        </w:rPr>
        <w:t>.</w:t>
      </w:r>
      <w:r w:rsidRPr="00922C38">
        <w:rPr>
          <w:rFonts w:ascii="Arial" w:hAnsi="Arial" w:cs="Arial"/>
        </w:rPr>
        <w:t xml:space="preserve">Fue publicado en el Diario Oficial No. 45.980 de 25 de julio de 2005 </w:t>
      </w:r>
    </w:p>
  </w:footnote>
  <w:footnote w:id="22">
    <w:p w:rsidRPr="00922C38" w:rsidR="0098532D" w:rsidP="0098532D" w:rsidRDefault="0098532D" w14:paraId="09656F73" w14:textId="77777777">
      <w:pPr>
        <w:pStyle w:val="Textonotapie"/>
        <w:jc w:val="both"/>
      </w:pPr>
      <w:r w:rsidRPr="00922C38">
        <w:rPr>
          <w:rStyle w:val="Refdenotaalpie"/>
          <w:rFonts w:ascii="Arial" w:hAnsi="Arial" w:cs="Arial"/>
        </w:rPr>
        <w:footnoteRef/>
      </w:r>
      <w:r w:rsidRPr="00922C38">
        <w:rPr>
          <w:rFonts w:ascii="Arial" w:hAnsi="Arial" w:cs="Arial"/>
        </w:rPr>
        <w:t xml:space="preserve"> Consejo de Estado, Sala de Consulta y Servicio Civil, concepto del 10 de diciembre de 2013, Radicación No.  2194, Expediente 11001 03 06 000 2013 00540 00</w:t>
      </w:r>
    </w:p>
  </w:footnote>
  <w:footnote w:id="23">
    <w:p w:rsidRPr="00922C38" w:rsidR="0098532D" w:rsidP="0098532D" w:rsidRDefault="0098532D" w14:paraId="137135E5" w14:textId="77777777">
      <w:pPr>
        <w:pStyle w:val="Textonotapie"/>
        <w:jc w:val="both"/>
        <w:rPr>
          <w:lang w:val="es-MX"/>
        </w:rPr>
      </w:pPr>
      <w:r w:rsidRPr="00922C38">
        <w:rPr>
          <w:rStyle w:val="Refdenotaalpie"/>
        </w:rPr>
        <w:footnoteRef/>
      </w:r>
      <w:r w:rsidRPr="00922C38">
        <w:t xml:space="preserve"> </w:t>
      </w:r>
      <w:r w:rsidRPr="00922C38">
        <w:rPr>
          <w:rFonts w:ascii="Arial" w:hAnsi="Arial" w:cs="Arial"/>
        </w:rPr>
        <w:t>Consejo de Estado, Sala de Consulta y Servicio Civil, Decisión</w:t>
      </w:r>
      <w:r w:rsidRPr="00922C38">
        <w:rPr>
          <w:rFonts w:ascii="Arial" w:hAnsi="Arial" w:cs="Arial"/>
          <w:lang w:val="es-MX"/>
        </w:rPr>
        <w:t xml:space="preserve"> del 13 de agosto de 2021 Rad. núm. </w:t>
      </w:r>
      <w:r w:rsidRPr="00922C38">
        <w:rPr>
          <w:rFonts w:ascii="Arial" w:hAnsi="Arial" w:cs="Arial"/>
        </w:rPr>
        <w:t>11001-03-06-000-2021-00066-00(C)</w:t>
      </w:r>
      <w:r w:rsidRPr="00922C38">
        <w:rPr>
          <w:rFonts w:ascii="Arial" w:hAnsi="Arial" w:cs="Arial"/>
          <w:lang w:val="es-MX"/>
        </w:rPr>
        <w:t xml:space="preserve">. </w:t>
      </w:r>
    </w:p>
  </w:footnote>
  <w:footnote w:id="24">
    <w:p w:rsidRPr="00922C38" w:rsidR="0098532D" w:rsidP="0098532D" w:rsidRDefault="0098532D" w14:paraId="792D3E9F"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Ley 71 de 1988 (diciembre 19) «</w:t>
      </w:r>
      <w:r>
        <w:rPr>
          <w:rFonts w:ascii="Arial" w:hAnsi="Arial" w:cs="Arial"/>
          <w:lang w:val="es-ES"/>
        </w:rPr>
        <w:t>P</w:t>
      </w:r>
      <w:r w:rsidRPr="00922C38">
        <w:rPr>
          <w:rFonts w:ascii="Arial" w:hAnsi="Arial" w:cs="Arial"/>
        </w:rPr>
        <w:t>or la cual se expiden normas sobre pensiones y se dictan otras disposiciones».</w:t>
      </w:r>
    </w:p>
  </w:footnote>
  <w:footnote w:id="25">
    <w:p w:rsidRPr="00922C38" w:rsidR="0098532D" w:rsidP="0098532D" w:rsidRDefault="0098532D" w14:paraId="57C84EF3" w14:textId="77777777">
      <w:pPr>
        <w:pStyle w:val="Textonotapie"/>
        <w:jc w:val="both"/>
        <w:rPr>
          <w:rFonts w:ascii="Arial" w:hAnsi="Arial" w:cs="Arial"/>
        </w:rPr>
      </w:pPr>
      <w:r w:rsidRPr="00922C38">
        <w:rPr>
          <w:rStyle w:val="Refdenotaalpie"/>
        </w:rPr>
        <w:footnoteRef/>
      </w:r>
      <w:r w:rsidRPr="00922C38">
        <w:t xml:space="preserve"> </w:t>
      </w:r>
      <w:r w:rsidRPr="00922C38">
        <w:rPr>
          <w:lang w:val="es-MX"/>
        </w:rPr>
        <w:t xml:space="preserve"> </w:t>
      </w:r>
      <w:r w:rsidRPr="00922C38">
        <w:rPr>
          <w:rFonts w:ascii="Arial" w:hAnsi="Arial" w:cs="Arial"/>
          <w:lang w:val="es-MX"/>
        </w:rPr>
        <w:t xml:space="preserve">Decreto 2709 de 1994. </w:t>
      </w:r>
      <w:r w:rsidRPr="00922C38">
        <w:rPr>
          <w:rFonts w:ascii="Arial" w:hAnsi="Arial" w:cs="Arial"/>
        </w:rPr>
        <w:t>«</w:t>
      </w:r>
      <w:r w:rsidRPr="00922C38">
        <w:rPr>
          <w:rFonts w:ascii="Arial" w:hAnsi="Arial" w:cs="Arial" w:eastAsiaTheme="minorHAnsi"/>
          <w:bCs/>
          <w:shd w:val="clear" w:color="auto" w:fill="FFFFFF"/>
          <w:lang w:val="es-CO" w:eastAsia="en-US"/>
        </w:rPr>
        <w:t>Por el cual se reglamenta el artículo 7de la Ley 71 de 1988</w:t>
      </w:r>
      <w:r w:rsidRPr="00922C38">
        <w:rPr>
          <w:rFonts w:ascii="Arial" w:hAnsi="Arial" w:cs="Arial"/>
        </w:rPr>
        <w:t>»</w:t>
      </w:r>
    </w:p>
  </w:footnote>
  <w:footnote w:id="26">
    <w:p w:rsidRPr="00922C38" w:rsidR="0098532D" w:rsidP="0098532D" w:rsidRDefault="0098532D" w14:paraId="3A899D6A" w14:textId="77777777">
      <w:pPr>
        <w:pStyle w:val="Textonotapie"/>
        <w:jc w:val="both"/>
        <w:rPr>
          <w:lang w:val="es-ES"/>
        </w:rPr>
      </w:pPr>
      <w:r>
        <w:rPr>
          <w:rStyle w:val="Refdenotaalpie"/>
        </w:rPr>
        <w:footnoteRef/>
      </w:r>
      <w:r>
        <w:t xml:space="preserve"> </w:t>
      </w:r>
      <w:r w:rsidRPr="00922C38">
        <w:rPr>
          <w:rFonts w:ascii="Arial" w:hAnsi="Arial" w:cs="Arial"/>
        </w:rPr>
        <w:t>Consejo de Estado, Sala de Consulta y Servicio Civil, Decisión</w:t>
      </w:r>
      <w:r w:rsidRPr="00922C38">
        <w:rPr>
          <w:rFonts w:ascii="Arial" w:hAnsi="Arial" w:cs="Arial"/>
          <w:lang w:val="es-MX"/>
        </w:rPr>
        <w:t xml:space="preserve"> del 13 de agosto de 2021 Rad. núm. </w:t>
      </w:r>
      <w:r w:rsidRPr="00922C38">
        <w:rPr>
          <w:rFonts w:ascii="Arial" w:hAnsi="Arial" w:cs="Arial"/>
        </w:rPr>
        <w:t>11001-03-06-000-2021-00066-00(C)</w:t>
      </w:r>
      <w:r>
        <w:rPr>
          <w:rFonts w:ascii="Arial" w:hAnsi="Arial" w:cs="Arial"/>
          <w:lang w:val="es-MX"/>
        </w:rPr>
        <w:t xml:space="preserve">; </w:t>
      </w:r>
      <w:r w:rsidRPr="004A1D93">
        <w:rPr>
          <w:rFonts w:ascii="Arial" w:hAnsi="Arial" w:cs="Arial"/>
          <w:lang w:val="es-MX"/>
        </w:rPr>
        <w:t>Consejo de Estado, Sala de Consulta y Servicio Civil, Decisión del 31 de agosto de 2021 Rad. núm. 11001-03-06-000-2021-00064-00(C)</w:t>
      </w:r>
      <w:r>
        <w:rPr>
          <w:rFonts w:ascii="Arial" w:hAnsi="Arial" w:cs="Arial"/>
          <w:lang w:val="es-MX"/>
        </w:rPr>
        <w:t xml:space="preserve">; </w:t>
      </w:r>
      <w:r w:rsidRPr="004A1D93">
        <w:rPr>
          <w:rFonts w:ascii="Arial" w:hAnsi="Arial" w:cs="Arial"/>
          <w:lang w:val="es-MX"/>
        </w:rPr>
        <w:t>Consejo de Estado, Sala de Consulta y Servicio Civil, Decisión del 9 de marzo de 2021 Rad. núm. 11001-03-06-000-2020-00222-00(C)</w:t>
      </w:r>
      <w:r>
        <w:rPr>
          <w:rFonts w:ascii="Arial" w:hAnsi="Arial" w:cs="Arial"/>
          <w:lang w:val="es-MX"/>
        </w:rPr>
        <w:t>.</w:t>
      </w:r>
    </w:p>
  </w:footnote>
  <w:footnote w:id="27">
    <w:p w:rsidRPr="00922C38" w:rsidR="0098532D" w:rsidP="0098532D" w:rsidRDefault="0098532D" w14:paraId="4C68BCE1"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Consejo de Estado, Sala de Consulta y Servicio Civil, Decisión del 9 de diciembre de 2020, Rad.núm.11001-03-06-000-2020-00219-00(C); Decisión del 27 de agosto de 2019, Rad. núm. 11001-03-06-000-2019-00086-00(C); Decisión del 17 de septiembre de 2018, Rad. núm.11001-03-06-000-2018-00127-00(C); Decisión del 12 de diciembre de 2017, Rad. núm.11001-03-06-000-2017-00183-00(C).</w:t>
      </w:r>
    </w:p>
  </w:footnote>
  <w:footnote w:id="28">
    <w:p w:rsidRPr="00922C38" w:rsidR="0098532D" w:rsidP="0098532D" w:rsidRDefault="0098532D" w14:paraId="6922E79E" w14:textId="77777777">
      <w:pPr>
        <w:pStyle w:val="Textonotapie"/>
        <w:jc w:val="both"/>
      </w:pPr>
      <w:r w:rsidRPr="00922C38">
        <w:rPr>
          <w:rStyle w:val="Refdenotaalpie"/>
        </w:rPr>
        <w:footnoteRef/>
      </w:r>
      <w:r w:rsidRPr="00922C38">
        <w:t xml:space="preserve"> </w:t>
      </w:r>
      <w:r w:rsidRPr="00922C38">
        <w:rPr>
          <w:rFonts w:ascii="Arial" w:hAnsi="Arial" w:cs="Arial"/>
        </w:rPr>
        <w:t>Decreto 813 de 1994 (abril 21) «Por el cual se reglamenta el artículo 36 de la Ley 100 de 1993»</w:t>
      </w:r>
    </w:p>
  </w:footnote>
  <w:footnote w:id="29">
    <w:p w:rsidRPr="00922C38" w:rsidR="0098532D" w:rsidP="0098532D" w:rsidRDefault="0098532D" w14:paraId="7B1C771B" w14:textId="77777777">
      <w:pPr>
        <w:pStyle w:val="Textonotapie"/>
        <w:jc w:val="both"/>
        <w:rPr>
          <w:lang w:val="es-ES"/>
        </w:rPr>
      </w:pPr>
      <w:r w:rsidRPr="00922C38">
        <w:rPr>
          <w:rStyle w:val="Refdenotaalpie"/>
        </w:rPr>
        <w:footnoteRef/>
      </w:r>
      <w:r w:rsidRPr="00922C38">
        <w:t xml:space="preserve"> </w:t>
      </w:r>
      <w:r w:rsidRPr="00922C38">
        <w:rPr>
          <w:rFonts w:ascii="Arial" w:hAnsi="Arial" w:cs="Arial"/>
        </w:rPr>
        <w:t>Consejo de Estado, Sala de Consulta y Servicio Civil, Decisión del 9 de diciembre de 2020, Rad.núm.11001-03-06-000-2020-00219-00(C); Decisión del 27 de agosto de 2019, Rad. núm. 11001-03-06-000-2019-00086-00(C); Decisión del 17 de septiembre de 2018, Rad. núm.11001-03-06-000-2018-00127-00(C); Decisión del 12 de diciembre de 2017, Rad. núm.11001-03-06-000-2017-00183-00(C).</w:t>
      </w:r>
    </w:p>
  </w:footnote>
  <w:footnote w:id="30">
    <w:p w:rsidRPr="00922C38" w:rsidR="0098532D" w:rsidP="0098532D" w:rsidRDefault="0098532D" w14:paraId="0E12376E"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Consejo de Estado, Sala de Consulta y Servicio Civil, </w:t>
      </w:r>
      <w:r w:rsidRPr="00922C38">
        <w:rPr>
          <w:rFonts w:ascii="Arial" w:hAnsi="Arial" w:cs="Arial"/>
          <w:lang w:val="es-CO"/>
        </w:rPr>
        <w:t xml:space="preserve">Decisión del 13 de diciembre de 2021, Rad. </w:t>
      </w:r>
      <w:r w:rsidRPr="00922C38">
        <w:rPr>
          <w:rFonts w:ascii="Arial" w:hAnsi="Arial" w:cs="Arial"/>
        </w:rPr>
        <w:t>11001030600020210009300</w:t>
      </w:r>
      <w:r w:rsidRPr="00922C38">
        <w:rPr>
          <w:rFonts w:ascii="Arial" w:hAnsi="Arial" w:cs="Arial"/>
          <w:lang w:val="es-CO"/>
        </w:rPr>
        <w:t xml:space="preserve">, </w:t>
      </w:r>
      <w:r w:rsidRPr="00922C38">
        <w:rPr>
          <w:rFonts w:ascii="Arial" w:hAnsi="Arial" w:cs="Arial"/>
        </w:rPr>
        <w:t>Decisión del 14 de diciembre de 2020, Rad. núm. 11001 03 06 000 2020 00224 00</w:t>
      </w:r>
      <w:r w:rsidRPr="00922C38">
        <w:rPr>
          <w:rFonts w:ascii="Arial" w:hAnsi="Arial" w:cs="Arial"/>
          <w:lang w:val="es-CO"/>
        </w:rPr>
        <w:t xml:space="preserve">, entre otras. </w:t>
      </w:r>
    </w:p>
  </w:footnote>
  <w:footnote w:id="31">
    <w:p w:rsidRPr="000F65F2" w:rsidR="0098532D" w:rsidP="0098532D" w:rsidRDefault="0098532D" w14:paraId="6BE52ABC" w14:textId="77777777">
      <w:pPr>
        <w:pStyle w:val="Textonotapie"/>
        <w:jc w:val="both"/>
        <w:rPr>
          <w:lang w:val="es-ES"/>
        </w:rPr>
      </w:pPr>
      <w:r>
        <w:rPr>
          <w:rStyle w:val="Refdenotaalpie"/>
        </w:rPr>
        <w:footnoteRef/>
      </w:r>
      <w:r>
        <w:t xml:space="preserve"> </w:t>
      </w:r>
      <w:r>
        <w:rPr>
          <w:rFonts w:eastAsia="Arial Unicode MS" w:cs="Arial"/>
          <w:bCs/>
          <w:lang w:val="es-ES"/>
        </w:rPr>
        <w:t xml:space="preserve">Reglamentado por el </w:t>
      </w:r>
      <w:r w:rsidRPr="0011186D">
        <w:rPr>
          <w:rFonts w:eastAsia="Arial Unicode MS" w:cs="Arial"/>
          <w:bCs/>
        </w:rPr>
        <w:t>Decreto 692 de 199</w:t>
      </w:r>
      <w:r>
        <w:rPr>
          <w:rFonts w:eastAsia="Arial Unicode MS" w:cs="Arial"/>
          <w:bCs/>
        </w:rPr>
        <w:t>4</w:t>
      </w:r>
      <w:r>
        <w:rPr>
          <w:rFonts w:eastAsia="Arial Unicode MS" w:cs="Arial"/>
          <w:bCs/>
          <w:lang w:val="es-ES"/>
        </w:rPr>
        <w:t xml:space="preserve"> </w:t>
      </w:r>
      <w:r w:rsidRPr="00922C38">
        <w:rPr>
          <w:rStyle w:val="Textoennegrita"/>
          <w:rFonts w:ascii="Arial" w:hAnsi="Arial" w:cs="Arial"/>
          <w:b w:val="0"/>
          <w:bCs w:val="0"/>
          <w:shd w:val="clear" w:color="auto" w:fill="FFFFFF"/>
        </w:rPr>
        <w:t>«Por el cual se reglamenta parcialmente la Ley</w:t>
      </w:r>
      <w:r w:rsidRPr="00922C38">
        <w:rPr>
          <w:rStyle w:val="Textoennegrita"/>
          <w:rFonts w:ascii="Arial" w:hAnsi="Arial" w:cs="Arial"/>
          <w:b w:val="0"/>
          <w:bCs w:val="0"/>
          <w:shd w:val="clear" w:color="auto" w:fill="FFFFFF"/>
          <w:lang w:val="es-CO"/>
        </w:rPr>
        <w:t xml:space="preserve"> </w:t>
      </w:r>
      <w:r w:rsidRPr="00922C38">
        <w:rPr>
          <w:rFonts w:ascii="Arial" w:hAnsi="Arial" w:cs="Arial"/>
          <w:shd w:val="clear" w:color="auto" w:fill="FFFFFF"/>
        </w:rPr>
        <w:t xml:space="preserve">100 </w:t>
      </w:r>
      <w:r w:rsidRPr="00922C38">
        <w:rPr>
          <w:rStyle w:val="Textoennegrita"/>
          <w:rFonts w:ascii="Arial" w:hAnsi="Arial" w:cs="Arial"/>
          <w:b w:val="0"/>
          <w:bCs w:val="0"/>
          <w:shd w:val="clear" w:color="auto" w:fill="FFFFFF"/>
        </w:rPr>
        <w:t>de 1993».</w:t>
      </w:r>
    </w:p>
  </w:footnote>
  <w:footnote w:id="32">
    <w:p w:rsidRPr="00922C38" w:rsidR="0098532D" w:rsidP="0098532D" w:rsidRDefault="0098532D" w14:paraId="51A55BD7"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Ley 1151 de 2007 (julio 24), «Por la cual se expide el Plan Nacional de Desarrollo 2006-2010».</w:t>
      </w:r>
    </w:p>
  </w:footnote>
  <w:footnote w:id="33">
    <w:p w:rsidRPr="00922C38" w:rsidR="0098532D" w:rsidP="0098532D" w:rsidRDefault="0098532D" w14:paraId="4FC13686"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Decreto 2011 de 2012 (septiembre 28), «Por el cual se determina y reglamenta la entrada en operación de la Administradora Colombiana de Pensiones – Colpensiones, y se dictan otras disposiciones».</w:t>
      </w:r>
      <w:r w:rsidRPr="00922C38">
        <w:rPr>
          <w:rFonts w:ascii="Arial" w:hAnsi="Arial" w:cs="Arial"/>
          <w:b/>
          <w:bCs/>
        </w:rPr>
        <w:t xml:space="preserve"> </w:t>
      </w:r>
    </w:p>
  </w:footnote>
  <w:footnote w:id="34">
    <w:p w:rsidRPr="00922C38" w:rsidR="0098532D" w:rsidP="0098532D" w:rsidRDefault="0098532D" w14:paraId="42559057"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Decreto 2012 de 2012 (septiembre 28), «Por </w:t>
      </w:r>
      <w:r w:rsidRPr="00922C38">
        <w:rPr>
          <w:rFonts w:ascii="Arial" w:hAnsi="Arial" w:cs="Arial"/>
          <w:lang w:val="es-ES"/>
        </w:rPr>
        <w:t xml:space="preserve">el cual se suprimen unas dependencias de la estructura del Instituto de Seguros Sociales –ISS». </w:t>
      </w:r>
    </w:p>
  </w:footnote>
  <w:footnote w:id="35">
    <w:p w:rsidRPr="00922C38" w:rsidR="0098532D" w:rsidP="0098532D" w:rsidRDefault="0098532D" w14:paraId="678F3564" w14:textId="77777777">
      <w:pPr>
        <w:pStyle w:val="Textonotapie"/>
        <w:jc w:val="both"/>
        <w:rPr>
          <w:rFonts w:ascii="Arial" w:hAnsi="Arial" w:cs="Arial"/>
        </w:rPr>
      </w:pPr>
      <w:r w:rsidRPr="00922C38">
        <w:rPr>
          <w:rStyle w:val="Refdenotaalpie"/>
          <w:rFonts w:ascii="Arial" w:hAnsi="Arial" w:cs="Arial"/>
        </w:rPr>
        <w:footnoteRef/>
      </w:r>
      <w:r w:rsidRPr="00922C38">
        <w:rPr>
          <w:rFonts w:ascii="Arial" w:hAnsi="Arial" w:cs="Arial"/>
        </w:rPr>
        <w:t xml:space="preserve"> Decreto 2013 de 2012 (septiembre 28), «Por el cual se suprime el Instituto de Seguros Sociales, ISS, se ordena su liquidación, y se dictan otras disposiciones». </w:t>
      </w:r>
    </w:p>
  </w:footnote>
  <w:footnote w:id="36">
    <w:p w:rsidRPr="00922C38" w:rsidR="0098532D" w:rsidP="0098532D" w:rsidRDefault="0098532D" w14:paraId="7C002AB8" w14:textId="77777777">
      <w:pPr>
        <w:pStyle w:val="Textonotapie"/>
        <w:jc w:val="both"/>
        <w:rPr>
          <w:lang w:val="es-ES"/>
        </w:rPr>
      </w:pPr>
      <w:r w:rsidRPr="00922C38">
        <w:rPr>
          <w:rStyle w:val="Refdenotaalpie"/>
        </w:rPr>
        <w:footnoteRef/>
      </w:r>
      <w:r w:rsidRPr="00922C38">
        <w:t xml:space="preserve"> </w:t>
      </w:r>
      <w:r w:rsidRPr="00922C38">
        <w:rPr>
          <w:rFonts w:ascii="Arial" w:hAnsi="Arial" w:cs="Arial"/>
        </w:rPr>
        <w:t xml:space="preserve">Consejo de Estado, Sala de Consulta y Servicio Civil, </w:t>
      </w:r>
      <w:r w:rsidRPr="00922C38">
        <w:rPr>
          <w:rFonts w:ascii="Arial" w:hAnsi="Arial" w:cs="Arial"/>
          <w:lang w:val="es-CO"/>
        </w:rPr>
        <w:t xml:space="preserve">Decisión del 13 de diciembre de 2021, Rad. </w:t>
      </w:r>
      <w:r w:rsidRPr="00922C38">
        <w:rPr>
          <w:rFonts w:ascii="Arial" w:hAnsi="Arial" w:cs="Arial"/>
        </w:rPr>
        <w:t>11001030600020210009300</w:t>
      </w:r>
      <w:r w:rsidRPr="00922C38">
        <w:rPr>
          <w:rFonts w:ascii="Arial" w:hAnsi="Arial" w:cs="Arial"/>
          <w:lang w:val="es-CO"/>
        </w:rPr>
        <w:t xml:space="preserve">, </w:t>
      </w:r>
      <w:r w:rsidRPr="00922C38">
        <w:rPr>
          <w:rFonts w:ascii="Arial" w:hAnsi="Arial" w:cs="Arial"/>
        </w:rPr>
        <w:t>Decisión del 14 de diciembre de 2020, Rad. núm. 11001 03 06 000 2020 00224 00</w:t>
      </w:r>
      <w:r w:rsidRPr="00922C38">
        <w:rPr>
          <w:rFonts w:ascii="Arial" w:hAnsi="Arial" w:cs="Arial"/>
          <w:lang w:val="es-CO"/>
        </w:rPr>
        <w:t>.</w:t>
      </w:r>
    </w:p>
  </w:footnote>
  <w:footnote w:id="37">
    <w:p w:rsidRPr="00922C38" w:rsidR="0098532D" w:rsidP="0098532D" w:rsidRDefault="0098532D" w14:paraId="2D73DC8A"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Consejo de Estado, Sala de Consulta y Servicio Civil, </w:t>
      </w:r>
      <w:r w:rsidRPr="00922C38">
        <w:rPr>
          <w:rFonts w:ascii="Arial" w:hAnsi="Arial" w:cs="Arial"/>
          <w:lang w:val="es-CO"/>
        </w:rPr>
        <w:t xml:space="preserve">Decisión </w:t>
      </w:r>
      <w:r w:rsidRPr="00922C38">
        <w:rPr>
          <w:rFonts w:ascii="Arial" w:hAnsi="Arial" w:cs="Arial"/>
        </w:rPr>
        <w:t>de</w:t>
      </w:r>
      <w:r w:rsidRPr="00922C38">
        <w:rPr>
          <w:rFonts w:ascii="Arial" w:hAnsi="Arial" w:cs="Arial"/>
          <w:lang w:val="es-CO"/>
        </w:rPr>
        <w:t xml:space="preserve">l 25 </w:t>
      </w:r>
      <w:r w:rsidRPr="00922C38">
        <w:rPr>
          <w:rFonts w:ascii="Arial" w:hAnsi="Arial" w:cs="Arial"/>
        </w:rPr>
        <w:t xml:space="preserve">de </w:t>
      </w:r>
      <w:r w:rsidRPr="00922C38">
        <w:rPr>
          <w:rFonts w:ascii="Arial" w:hAnsi="Arial" w:cs="Arial"/>
          <w:lang w:val="es-CO"/>
        </w:rPr>
        <w:t xml:space="preserve">mayo de </w:t>
      </w:r>
      <w:r w:rsidRPr="00922C38">
        <w:rPr>
          <w:rFonts w:ascii="Arial" w:hAnsi="Arial" w:cs="Arial"/>
        </w:rPr>
        <w:t>20</w:t>
      </w:r>
      <w:r w:rsidRPr="00922C38">
        <w:rPr>
          <w:rFonts w:ascii="Arial" w:hAnsi="Arial" w:cs="Arial"/>
          <w:lang w:val="es-CO"/>
        </w:rPr>
        <w:t xml:space="preserve">22, </w:t>
      </w:r>
      <w:r w:rsidRPr="00922C38">
        <w:rPr>
          <w:rFonts w:ascii="Arial" w:hAnsi="Arial" w:cs="Arial"/>
        </w:rPr>
        <w:t xml:space="preserve">Radicado </w:t>
      </w:r>
      <w:r w:rsidRPr="00922C38">
        <w:rPr>
          <w:rFonts w:ascii="Arial" w:hAnsi="Arial" w:cs="Arial"/>
          <w:szCs w:val="24"/>
        </w:rPr>
        <w:t>11001-03-06-000-202</w:t>
      </w:r>
      <w:r w:rsidRPr="00922C38">
        <w:rPr>
          <w:rFonts w:ascii="Arial" w:hAnsi="Arial" w:cs="Arial"/>
          <w:szCs w:val="24"/>
          <w:lang w:val="es-CO"/>
        </w:rPr>
        <w:t>1</w:t>
      </w:r>
      <w:r w:rsidRPr="00922C38">
        <w:rPr>
          <w:rFonts w:ascii="Arial" w:hAnsi="Arial" w:cs="Arial"/>
          <w:szCs w:val="24"/>
        </w:rPr>
        <w:t>-00</w:t>
      </w:r>
      <w:r w:rsidRPr="00922C38">
        <w:rPr>
          <w:rFonts w:ascii="Arial" w:hAnsi="Arial" w:cs="Arial"/>
          <w:szCs w:val="24"/>
          <w:lang w:val="es-CO"/>
        </w:rPr>
        <w:t>176</w:t>
      </w:r>
      <w:r w:rsidRPr="00922C38">
        <w:rPr>
          <w:rFonts w:ascii="Arial" w:hAnsi="Arial" w:cs="Arial"/>
          <w:szCs w:val="24"/>
        </w:rPr>
        <w:t>-00</w:t>
      </w:r>
    </w:p>
  </w:footnote>
  <w:footnote w:id="38">
    <w:p w:rsidRPr="00922C38" w:rsidR="0098532D" w:rsidP="0098532D" w:rsidRDefault="0098532D" w14:paraId="50E0722C"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L</w:t>
      </w:r>
      <w:r w:rsidRPr="00922C38">
        <w:rPr>
          <w:rFonts w:ascii="Arial" w:hAnsi="Arial" w:cs="Arial"/>
        </w:rPr>
        <w:t>os miembros y personal civil de las Fuerzas Militares y de la Policía Nacional, los miembros no remunerados de las Corporaciones Públicas, los afiliados al Fondo Nacional de Prestaciones Sociales del Magisterio y los servidores públicos y pensionados de la Empresa Colombiana de Petróleos</w:t>
      </w:r>
      <w:r w:rsidRPr="00922C38">
        <w:rPr>
          <w:rFonts w:ascii="Arial" w:hAnsi="Arial" w:cs="Arial"/>
          <w:lang w:val="es-CO"/>
        </w:rPr>
        <w:t>.</w:t>
      </w:r>
    </w:p>
  </w:footnote>
  <w:footnote w:id="39">
    <w:p w:rsidRPr="00922C38" w:rsidR="0098532D" w:rsidP="0098532D" w:rsidRDefault="0098532D" w14:paraId="4D88EC3B"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Decreto 692 de 1994</w:t>
      </w:r>
      <w:r w:rsidRPr="00922C38">
        <w:rPr>
          <w:rFonts w:ascii="Arial" w:hAnsi="Arial" w:cs="Arial"/>
          <w:lang w:val="es-CO"/>
        </w:rPr>
        <w:t xml:space="preserve"> (marzo 29) </w:t>
      </w:r>
      <w:r w:rsidRPr="00922C38">
        <w:rPr>
          <w:rFonts w:ascii="Arial" w:hAnsi="Arial" w:cs="Arial"/>
          <w:bCs/>
        </w:rPr>
        <w:t>«</w:t>
      </w:r>
      <w:r w:rsidRPr="00922C38">
        <w:rPr>
          <w:rFonts w:ascii="Arial" w:hAnsi="Arial" w:cs="Arial"/>
          <w:lang w:val="es-CO"/>
        </w:rPr>
        <w:t>[P]</w:t>
      </w:r>
      <w:r w:rsidRPr="00922C38">
        <w:rPr>
          <w:rFonts w:ascii="Arial" w:hAnsi="Arial" w:cs="Arial"/>
        </w:rPr>
        <w:t>or el cual se reglamenta la entrada en vigencia del sistema general de pensiones en los niveles departamental, municipal y distrital, la constitución de los fondos de pensiones del nivel territorial, y la declaratoria de solvencia de las cajas, fondos o entidades de previsión social del sector púb</w:t>
      </w:r>
      <w:bookmarkStart w:name="_GoBack" w:id="7"/>
      <w:bookmarkEnd w:id="7"/>
      <w:r w:rsidRPr="00922C38">
        <w:rPr>
          <w:rFonts w:ascii="Arial" w:hAnsi="Arial" w:cs="Arial"/>
        </w:rPr>
        <w:t>lico del nivel territorial</w:t>
      </w:r>
      <w:r w:rsidRPr="00922C38">
        <w:rPr>
          <w:rFonts w:ascii="Arial" w:hAnsi="Arial" w:cs="Arial"/>
          <w:bCs/>
        </w:rPr>
        <w:t>»</w:t>
      </w:r>
      <w:r w:rsidRPr="00922C38">
        <w:rPr>
          <w:rFonts w:ascii="Arial" w:hAnsi="Arial" w:cs="Arial"/>
          <w:bCs/>
          <w:lang w:val="es-CO"/>
        </w:rPr>
        <w:t>.</w:t>
      </w:r>
    </w:p>
  </w:footnote>
  <w:footnote w:id="40">
    <w:p w:rsidRPr="00922C38" w:rsidR="0098532D" w:rsidP="0098532D" w:rsidRDefault="0098532D" w14:paraId="18DB8301" w14:textId="77777777">
      <w:pPr>
        <w:spacing w:after="0"/>
        <w:jc w:val="both"/>
        <w:rPr>
          <w:rFonts w:cs="Arial"/>
        </w:rPr>
      </w:pPr>
      <w:r w:rsidRPr="00922C38">
        <w:rPr>
          <w:rStyle w:val="Refdenotaalpie"/>
          <w:rFonts w:cs="Arial"/>
          <w:sz w:val="20"/>
          <w:szCs w:val="20"/>
        </w:rPr>
        <w:footnoteRef/>
      </w:r>
      <w:r w:rsidRPr="00922C38">
        <w:rPr>
          <w:rFonts w:cs="Arial"/>
          <w:sz w:val="20"/>
          <w:szCs w:val="20"/>
        </w:rPr>
        <w:t xml:space="preserve"> La reglamentación de la declaración de solvencia, insolvencia y del proceso de liquidación de estas entidades se encuentra en el Decreto 1068 de 1995, en concordancia con lo establecido en el artículo 151 de la Ley 100 de 1993.</w:t>
      </w:r>
    </w:p>
  </w:footnote>
  <w:footnote w:id="41">
    <w:p w:rsidRPr="00922C38" w:rsidR="0098532D" w:rsidP="0098532D" w:rsidRDefault="0098532D" w14:paraId="383D8299" w14:textId="77777777">
      <w:pPr>
        <w:pStyle w:val="Textonotapie"/>
        <w:jc w:val="both"/>
      </w:pPr>
      <w:r w:rsidRPr="00922C38">
        <w:rPr>
          <w:rStyle w:val="Refdenotaalpie"/>
          <w:rFonts w:ascii="Arial" w:hAnsi="Arial" w:cs="Arial"/>
        </w:rPr>
        <w:footnoteRef/>
      </w:r>
      <w:r w:rsidRPr="00922C38">
        <w:rPr>
          <w:rFonts w:ascii="Arial" w:hAnsi="Arial" w:cs="Arial"/>
        </w:rPr>
        <w:t xml:space="preserve"> Consejo de Estado, Sala de Consulta y Servicio Civil, </w:t>
      </w:r>
      <w:r w:rsidRPr="00922C38">
        <w:rPr>
          <w:rFonts w:ascii="Arial" w:hAnsi="Arial" w:cs="Arial"/>
          <w:lang w:val="es-CO"/>
        </w:rPr>
        <w:t xml:space="preserve">Decisión </w:t>
      </w:r>
      <w:r w:rsidRPr="00922C38">
        <w:rPr>
          <w:rFonts w:ascii="Arial" w:hAnsi="Arial" w:cs="Arial"/>
        </w:rPr>
        <w:t>de</w:t>
      </w:r>
      <w:r w:rsidRPr="00922C38">
        <w:rPr>
          <w:rFonts w:ascii="Arial" w:hAnsi="Arial" w:cs="Arial"/>
          <w:lang w:val="es-CO"/>
        </w:rPr>
        <w:t xml:space="preserve">l 20 </w:t>
      </w:r>
      <w:r w:rsidRPr="00922C38">
        <w:rPr>
          <w:rFonts w:ascii="Arial" w:hAnsi="Arial" w:cs="Arial"/>
        </w:rPr>
        <w:t xml:space="preserve">de </w:t>
      </w:r>
      <w:r w:rsidRPr="00922C38">
        <w:rPr>
          <w:rFonts w:ascii="Arial" w:hAnsi="Arial" w:cs="Arial"/>
          <w:lang w:val="es-CO"/>
        </w:rPr>
        <w:t xml:space="preserve">mayo de </w:t>
      </w:r>
      <w:r w:rsidRPr="00922C38">
        <w:rPr>
          <w:rFonts w:ascii="Arial" w:hAnsi="Arial" w:cs="Arial"/>
        </w:rPr>
        <w:t>20</w:t>
      </w:r>
      <w:r w:rsidRPr="00922C38">
        <w:rPr>
          <w:rFonts w:ascii="Arial" w:hAnsi="Arial" w:cs="Arial"/>
          <w:lang w:val="es-CO"/>
        </w:rPr>
        <w:t xml:space="preserve">21, </w:t>
      </w:r>
      <w:r w:rsidRPr="00922C38">
        <w:rPr>
          <w:rFonts w:ascii="Arial" w:hAnsi="Arial" w:cs="Arial"/>
        </w:rPr>
        <w:t xml:space="preserve">Radicado </w:t>
      </w:r>
      <w:r w:rsidRPr="00922C38">
        <w:rPr>
          <w:rFonts w:ascii="Arial" w:hAnsi="Arial" w:cs="Arial"/>
          <w:szCs w:val="24"/>
        </w:rPr>
        <w:t>11001-03-06-000-2020-00040-00</w:t>
      </w:r>
    </w:p>
  </w:footnote>
  <w:footnote w:id="42">
    <w:p w:rsidRPr="00922C38" w:rsidR="0098532D" w:rsidP="0098532D" w:rsidRDefault="0098532D" w14:paraId="2AC7FB21" w14:textId="77777777">
      <w:pPr>
        <w:pStyle w:val="Textonotapie"/>
        <w:jc w:val="both"/>
        <w:rPr>
          <w:rFonts w:ascii="Arial" w:hAnsi="Arial" w:cs="Arial"/>
          <w:lang w:val="es-MX"/>
        </w:rPr>
      </w:pPr>
      <w:r w:rsidRPr="00922C38">
        <w:rPr>
          <w:rStyle w:val="Refdenotaalpie"/>
          <w:rFonts w:ascii="Arial" w:hAnsi="Arial" w:cs="Arial" w:eastAsiaTheme="majorEastAsia"/>
          <w:i/>
        </w:rPr>
        <w:footnoteRef/>
      </w:r>
      <w:r w:rsidRPr="00922C38">
        <w:rPr>
          <w:rFonts w:ascii="Arial" w:hAnsi="Arial" w:cs="Arial"/>
          <w:bCs/>
          <w:shd w:val="clear" w:color="auto" w:fill="FFFFFF"/>
        </w:rPr>
        <w:t>Decreto 1296 de 1994</w:t>
      </w:r>
      <w:r w:rsidRPr="00922C38">
        <w:rPr>
          <w:rFonts w:ascii="Arial" w:hAnsi="Arial" w:cs="Arial"/>
        </w:rPr>
        <w:t xml:space="preserve"> </w:t>
      </w:r>
      <w:r w:rsidRPr="00922C38">
        <w:rPr>
          <w:rFonts w:ascii="Arial" w:hAnsi="Arial" w:cs="Arial"/>
          <w:shd w:val="clear" w:color="auto" w:fill="FFFFFF"/>
        </w:rPr>
        <w:t>(junio 22), «por el cual se establece el régimen de los fondos departamentales, distritales y municipales de pensiones públicas.</w:t>
      </w:r>
      <w:r w:rsidRPr="00922C38">
        <w:rPr>
          <w:rFonts w:ascii="Arial" w:hAnsi="Arial" w:cs="Arial"/>
        </w:rPr>
        <w:t>».</w:t>
      </w:r>
    </w:p>
  </w:footnote>
  <w:footnote w:id="43">
    <w:p w:rsidRPr="00922C38" w:rsidR="0098532D" w:rsidP="0098532D" w:rsidRDefault="0098532D" w14:paraId="54F9E8C5" w14:textId="77777777">
      <w:pPr>
        <w:pStyle w:val="Textonotapie"/>
        <w:jc w:val="both"/>
      </w:pPr>
      <w:r w:rsidRPr="00922C38">
        <w:rPr>
          <w:rStyle w:val="Refdenotaalpie"/>
          <w:rFonts w:ascii="Arial" w:hAnsi="Arial" w:cs="Arial" w:eastAsiaTheme="majorEastAsia"/>
        </w:rPr>
        <w:footnoteRef/>
      </w:r>
      <w:r w:rsidRPr="00922C38">
        <w:rPr>
          <w:rFonts w:ascii="Arial" w:hAnsi="Arial" w:cs="Arial"/>
        </w:rPr>
        <w:t xml:space="preserve"> PDF 10, folios 40 a 45, expediente digital.</w:t>
      </w:r>
    </w:p>
  </w:footnote>
  <w:footnote w:id="44">
    <w:p w:rsidRPr="00922C38" w:rsidR="0098532D" w:rsidP="0098532D" w:rsidRDefault="0098532D" w14:paraId="1263A7DC" w14:textId="77777777">
      <w:pPr>
        <w:pStyle w:val="Textonotapie"/>
        <w:jc w:val="both"/>
        <w:rPr>
          <w:rFonts w:ascii="Arial" w:hAnsi="Arial" w:cs="Arial"/>
        </w:rPr>
      </w:pPr>
      <w:r w:rsidRPr="00922C38">
        <w:rPr>
          <w:rStyle w:val="Refdenotaalpie"/>
          <w:rFonts w:ascii="Arial" w:hAnsi="Arial" w:cs="Arial" w:eastAsiaTheme="majorEastAsia"/>
        </w:rPr>
        <w:footnoteRef/>
      </w:r>
      <w:r w:rsidRPr="00922C38">
        <w:rPr>
          <w:rFonts w:ascii="Arial" w:hAnsi="Arial" w:cs="Arial"/>
        </w:rPr>
        <w:t xml:space="preserve"> PDF 10, folio</w:t>
      </w:r>
      <w:r w:rsidRPr="00922C38">
        <w:rPr>
          <w:rFonts w:ascii="Arial" w:hAnsi="Arial" w:cs="Arial"/>
          <w:lang w:val="es-MX"/>
        </w:rPr>
        <w:t xml:space="preserve">s </w:t>
      </w:r>
      <w:r w:rsidRPr="00922C38">
        <w:rPr>
          <w:rFonts w:ascii="Arial" w:hAnsi="Arial" w:cs="Arial"/>
        </w:rPr>
        <w:t>31 y 32, expediente digital.</w:t>
      </w:r>
    </w:p>
  </w:footnote>
  <w:footnote w:id="45">
    <w:p w:rsidRPr="00922C38" w:rsidR="0098532D" w:rsidP="0098532D" w:rsidRDefault="0098532D" w14:paraId="142B51AE"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 xml:space="preserve">La elaboración de la tabla se realizó a partir de la información aportada por Colpensiones y la contenida en los certificados CETIL remitidos por la Oficina de Bonos Pensionales del Ministerio de Hacienda y Crédito Público. </w:t>
      </w:r>
    </w:p>
  </w:footnote>
  <w:footnote w:id="46">
    <w:p w:rsidRPr="00922C38" w:rsidR="0098532D" w:rsidP="0098532D" w:rsidRDefault="0098532D" w14:paraId="5CE940DF" w14:textId="77777777">
      <w:pPr>
        <w:pStyle w:val="Textonotapie"/>
        <w:jc w:val="both"/>
        <w:rPr>
          <w:rFonts w:ascii="Arial" w:hAnsi="Arial" w:cs="Arial"/>
          <w:lang w:val="es-CO"/>
        </w:rPr>
      </w:pPr>
      <w:r w:rsidRPr="00922C38">
        <w:rPr>
          <w:rStyle w:val="Refdenotaalpie"/>
          <w:rFonts w:ascii="Arial" w:hAnsi="Arial" w:cs="Arial"/>
        </w:rPr>
        <w:footnoteRef/>
      </w:r>
      <w:r w:rsidRPr="00922C38">
        <w:rPr>
          <w:rFonts w:ascii="Arial" w:hAnsi="Arial" w:cs="Arial"/>
        </w:rPr>
        <w:t xml:space="preserve"> </w:t>
      </w:r>
      <w:r w:rsidRPr="00922C38">
        <w:rPr>
          <w:rFonts w:ascii="Arial" w:hAnsi="Arial" w:cs="Arial"/>
          <w:lang w:val="es-CO"/>
        </w:rPr>
        <w:t xml:space="preserve">Sala de Consulta y Servicio Civil. Decisiones del </w:t>
      </w:r>
      <w:r w:rsidRPr="00922C38">
        <w:rPr>
          <w:rFonts w:ascii="Arial" w:hAnsi="Arial" w:cs="Arial"/>
          <w:shd w:val="clear" w:color="auto" w:fill="FFFFFF"/>
        </w:rPr>
        <w:t>12 de diciembre de 2017</w:t>
      </w:r>
      <w:r w:rsidRPr="00922C38">
        <w:rPr>
          <w:rFonts w:ascii="Arial" w:hAnsi="Arial" w:cs="Arial"/>
          <w:shd w:val="clear" w:color="auto" w:fill="FFFFFF"/>
          <w:lang w:val="es-CO"/>
        </w:rPr>
        <w:t xml:space="preserve"> (</w:t>
      </w:r>
      <w:r w:rsidRPr="00922C38">
        <w:rPr>
          <w:rFonts w:ascii="Arial" w:hAnsi="Arial" w:cs="Arial"/>
          <w:shd w:val="clear" w:color="auto" w:fill="FFFFFF"/>
        </w:rPr>
        <w:t>Radicado n</w:t>
      </w:r>
      <w:r w:rsidRPr="00922C38">
        <w:rPr>
          <w:rFonts w:ascii="Arial" w:hAnsi="Arial" w:cs="Arial"/>
          <w:shd w:val="clear" w:color="auto" w:fill="FFFFFF"/>
          <w:lang w:val="es-CO"/>
        </w:rPr>
        <w:t>úm.</w:t>
      </w:r>
      <w:r w:rsidRPr="00922C38">
        <w:rPr>
          <w:rFonts w:ascii="Arial" w:hAnsi="Arial" w:cs="Arial"/>
          <w:shd w:val="clear" w:color="auto" w:fill="FFFFFF"/>
        </w:rPr>
        <w:t xml:space="preserve"> 11001-03-06-000-2017-00133-00(C)</w:t>
      </w:r>
      <w:r w:rsidRPr="00922C38">
        <w:rPr>
          <w:rFonts w:ascii="Arial" w:hAnsi="Arial" w:cs="Arial"/>
          <w:shd w:val="clear" w:color="auto" w:fill="FFFFFF"/>
          <w:lang w:val="es-CO"/>
        </w:rPr>
        <w:t xml:space="preserve">), </w:t>
      </w:r>
      <w:r w:rsidRPr="00922C38">
        <w:rPr>
          <w:rFonts w:ascii="Arial" w:hAnsi="Arial" w:cs="Arial"/>
          <w:shd w:val="clear" w:color="auto" w:fill="FFFFFF"/>
        </w:rPr>
        <w:t>del 27 de febrero de 2018</w:t>
      </w:r>
      <w:r w:rsidRPr="00922C38">
        <w:rPr>
          <w:rFonts w:ascii="Arial" w:hAnsi="Arial" w:cs="Arial"/>
          <w:shd w:val="clear" w:color="auto" w:fill="FFFFFF"/>
          <w:lang w:val="es-CO"/>
        </w:rPr>
        <w:t xml:space="preserve"> (</w:t>
      </w:r>
      <w:r w:rsidRPr="00922C38">
        <w:rPr>
          <w:rFonts w:ascii="Arial" w:hAnsi="Arial" w:cs="Arial"/>
          <w:shd w:val="clear" w:color="auto" w:fill="FFFFFF"/>
        </w:rPr>
        <w:t>Radicado n</w:t>
      </w:r>
      <w:r w:rsidRPr="00922C38">
        <w:rPr>
          <w:rFonts w:ascii="Arial" w:hAnsi="Arial" w:cs="Arial"/>
          <w:shd w:val="clear" w:color="auto" w:fill="FFFFFF"/>
          <w:lang w:val="es-CO"/>
        </w:rPr>
        <w:t>úm.</w:t>
      </w:r>
      <w:r w:rsidRPr="00922C38">
        <w:rPr>
          <w:rFonts w:ascii="Arial" w:hAnsi="Arial" w:cs="Arial"/>
          <w:shd w:val="clear" w:color="auto" w:fill="FFFFFF"/>
        </w:rPr>
        <w:t xml:space="preserve"> 11001-03-06-000-2017-00169-00</w:t>
      </w:r>
      <w:r w:rsidRPr="00922C38">
        <w:rPr>
          <w:rFonts w:ascii="Arial" w:hAnsi="Arial" w:cs="Arial"/>
          <w:shd w:val="clear" w:color="auto" w:fill="FFFFFF"/>
          <w:lang w:val="es-CO"/>
        </w:rPr>
        <w:t>), y del 9 de diciembre de 2020 (Radicado núm. 11001030600020200019200).</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8AE" w:rsidRDefault="001338AE" w14:paraId="62EEC88E" w14:textId="77777777">
    <w:pPr>
      <w:pStyle w:val="Encabezado"/>
      <w:jc w:val="right"/>
    </w:pPr>
  </w:p>
  <w:p w:rsidRPr="00F31A3D" w:rsidR="001338AE" w:rsidRDefault="001338AE" w14:paraId="1C93E8C0" w14:textId="77777777">
    <w:pPr>
      <w:pStyle w:val="Encabezado"/>
      <w:jc w:val="right"/>
      <w:rPr>
        <w:sz w:val="22"/>
        <w:szCs w:val="22"/>
      </w:rPr>
    </w:pPr>
  </w:p>
  <w:p w:rsidRPr="00F31A3D" w:rsidR="001338AE" w:rsidRDefault="001338AE" w14:paraId="01D2A91C" w14:textId="77777777">
    <w:pPr>
      <w:pStyle w:val="Encabezado"/>
      <w:jc w:val="right"/>
      <w:rPr>
        <w:sz w:val="22"/>
        <w:szCs w:val="22"/>
      </w:rPr>
    </w:pPr>
  </w:p>
  <w:p w:rsidR="001338AE" w:rsidP="009860F8" w:rsidRDefault="001338AE" w14:paraId="37AFCFD7" w14:textId="6007173C">
    <w:pPr>
      <w:pStyle w:val="Encabezado"/>
      <w:tabs>
        <w:tab w:val="right" w:pos="8838"/>
      </w:tabs>
      <w:rPr>
        <w:rFonts w:ascii="Arial" w:hAnsi="Arial" w:cs="Arial"/>
        <w:sz w:val="22"/>
        <w:szCs w:val="22"/>
      </w:rPr>
    </w:pPr>
    <w:r>
      <w:rPr>
        <w:rFonts w:ascii="Arial" w:hAnsi="Arial" w:cs="Arial"/>
        <w:sz w:val="22"/>
        <w:szCs w:val="22"/>
        <w:lang w:val="es-CO"/>
      </w:rPr>
      <w:t>Radicación 110010306000202200</w:t>
    </w:r>
    <w:r w:rsidR="0098532D">
      <w:rPr>
        <w:rFonts w:ascii="Arial" w:hAnsi="Arial" w:cs="Arial"/>
        <w:sz w:val="22"/>
        <w:szCs w:val="22"/>
        <w:lang w:val="es-CO"/>
      </w:rPr>
      <w:t>07</w:t>
    </w:r>
    <w:r w:rsidRPr="00F31A3D">
      <w:rPr>
        <w:rFonts w:ascii="Arial" w:hAnsi="Arial" w:cs="Arial"/>
        <w:sz w:val="22"/>
        <w:szCs w:val="22"/>
        <w:lang w:val="es-CO"/>
      </w:rPr>
      <w:t>1</w:t>
    </w:r>
    <w:sdt>
      <w:sdtPr>
        <w:rPr>
          <w:rFonts w:ascii="Arial" w:hAnsi="Arial" w:cs="Arial"/>
          <w:sz w:val="22"/>
          <w:szCs w:val="22"/>
        </w:rPr>
        <w:id w:val="-1318336367"/>
        <w:docPartObj>
          <w:docPartGallery w:val="Page Numbers (Top of Page)"/>
          <w:docPartUnique/>
        </w:docPartObj>
      </w:sdtPr>
      <w:sdtEndPr/>
      <w:sdtContent>
        <w:r>
          <w:rPr>
            <w:rFonts w:ascii="Arial" w:hAnsi="Arial" w:cs="Arial"/>
            <w:sz w:val="22"/>
            <w:szCs w:val="22"/>
            <w:lang w:val="es-MX"/>
          </w:rPr>
          <w:t>00</w:t>
        </w:r>
        <w:r w:rsidRPr="00F31A3D">
          <w:rPr>
            <w:rFonts w:ascii="Arial" w:hAnsi="Arial" w:cs="Arial"/>
            <w:sz w:val="22"/>
            <w:szCs w:val="22"/>
          </w:rPr>
          <w:tab/>
        </w:r>
        <w:r w:rsidRPr="00F31A3D">
          <w:rPr>
            <w:rFonts w:ascii="Arial" w:hAnsi="Arial" w:cs="Arial"/>
            <w:sz w:val="22"/>
            <w:szCs w:val="22"/>
          </w:rPr>
          <w:tab/>
        </w:r>
        <w:r w:rsidRPr="00F31A3D">
          <w:rPr>
            <w:rFonts w:ascii="Arial" w:hAnsi="Arial" w:cs="Arial"/>
            <w:sz w:val="22"/>
            <w:szCs w:val="22"/>
            <w:lang w:val="es-ES"/>
          </w:rPr>
          <w:t xml:space="preserve">Página </w:t>
        </w:r>
        <w:r w:rsidRPr="00F31A3D">
          <w:rPr>
            <w:rFonts w:ascii="Arial" w:hAnsi="Arial" w:cs="Arial"/>
            <w:b/>
            <w:bCs/>
            <w:sz w:val="22"/>
            <w:szCs w:val="22"/>
          </w:rPr>
          <w:fldChar w:fldCharType="begin"/>
        </w:r>
        <w:r w:rsidRPr="00F31A3D">
          <w:rPr>
            <w:rFonts w:ascii="Arial" w:hAnsi="Arial" w:cs="Arial"/>
            <w:b/>
            <w:bCs/>
            <w:sz w:val="22"/>
            <w:szCs w:val="22"/>
          </w:rPr>
          <w:instrText>PAGE</w:instrText>
        </w:r>
        <w:r w:rsidRPr="00F31A3D">
          <w:rPr>
            <w:rFonts w:ascii="Arial" w:hAnsi="Arial" w:cs="Arial"/>
            <w:b/>
            <w:bCs/>
            <w:sz w:val="22"/>
            <w:szCs w:val="22"/>
          </w:rPr>
          <w:fldChar w:fldCharType="separate"/>
        </w:r>
        <w:r w:rsidR="0098532D">
          <w:rPr>
            <w:rFonts w:ascii="Arial" w:hAnsi="Arial" w:cs="Arial"/>
            <w:b/>
            <w:bCs/>
            <w:noProof/>
            <w:sz w:val="22"/>
            <w:szCs w:val="22"/>
          </w:rPr>
          <w:t>27</w:t>
        </w:r>
        <w:r w:rsidRPr="00F31A3D">
          <w:rPr>
            <w:rFonts w:ascii="Arial" w:hAnsi="Arial" w:cs="Arial"/>
            <w:b/>
            <w:bCs/>
            <w:sz w:val="22"/>
            <w:szCs w:val="22"/>
          </w:rPr>
          <w:fldChar w:fldCharType="end"/>
        </w:r>
        <w:r w:rsidRPr="00F31A3D">
          <w:rPr>
            <w:rFonts w:ascii="Arial" w:hAnsi="Arial" w:cs="Arial"/>
            <w:sz w:val="22"/>
            <w:szCs w:val="22"/>
            <w:lang w:val="es-ES"/>
          </w:rPr>
          <w:t xml:space="preserve"> de </w:t>
        </w:r>
        <w:r w:rsidRPr="00F31A3D">
          <w:rPr>
            <w:rFonts w:ascii="Arial" w:hAnsi="Arial" w:cs="Arial"/>
            <w:b/>
            <w:bCs/>
            <w:sz w:val="22"/>
            <w:szCs w:val="22"/>
          </w:rPr>
          <w:fldChar w:fldCharType="begin"/>
        </w:r>
        <w:r w:rsidRPr="00F31A3D">
          <w:rPr>
            <w:rFonts w:ascii="Arial" w:hAnsi="Arial" w:cs="Arial"/>
            <w:b/>
            <w:bCs/>
            <w:sz w:val="22"/>
            <w:szCs w:val="22"/>
          </w:rPr>
          <w:instrText>NUMPAGES</w:instrText>
        </w:r>
        <w:r w:rsidRPr="00F31A3D">
          <w:rPr>
            <w:rFonts w:ascii="Arial" w:hAnsi="Arial" w:cs="Arial"/>
            <w:b/>
            <w:bCs/>
            <w:sz w:val="22"/>
            <w:szCs w:val="22"/>
          </w:rPr>
          <w:fldChar w:fldCharType="separate"/>
        </w:r>
        <w:r w:rsidR="0098532D">
          <w:rPr>
            <w:rFonts w:ascii="Arial" w:hAnsi="Arial" w:cs="Arial"/>
            <w:b/>
            <w:bCs/>
            <w:noProof/>
            <w:sz w:val="22"/>
            <w:szCs w:val="22"/>
          </w:rPr>
          <w:t>27</w:t>
        </w:r>
        <w:r w:rsidRPr="00F31A3D">
          <w:rPr>
            <w:rFonts w:ascii="Arial" w:hAnsi="Arial" w:cs="Arial"/>
            <w:b/>
            <w:bCs/>
            <w:sz w:val="22"/>
            <w:szCs w:val="22"/>
          </w:rPr>
          <w:fldChar w:fldCharType="end"/>
        </w:r>
      </w:sdtContent>
    </w:sdt>
  </w:p>
  <w:p w:rsidR="001338AE" w:rsidP="009860F8" w:rsidRDefault="001338AE" w14:paraId="22053443" w14:textId="5E1A315C">
    <w:pPr>
      <w:pStyle w:val="Encabezado"/>
      <w:tabs>
        <w:tab w:val="right" w:pos="8838"/>
      </w:tabs>
      <w:rPr>
        <w:rFonts w:ascii="Arial" w:hAnsi="Arial" w:cs="Arial"/>
        <w:sz w:val="22"/>
        <w:szCs w:val="22"/>
      </w:rPr>
    </w:pPr>
  </w:p>
  <w:p w:rsidR="001338AE" w:rsidP="009860F8" w:rsidRDefault="001338AE" w14:paraId="2DE4726F" w14:textId="3E35DACA">
    <w:pPr>
      <w:pStyle w:val="Encabezado"/>
      <w:tabs>
        <w:tab w:val="right" w:pos="8838"/>
      </w:tabs>
      <w:rPr>
        <w:rFonts w:ascii="Arial" w:hAnsi="Arial" w:cs="Arial"/>
        <w:sz w:val="22"/>
        <w:szCs w:val="22"/>
      </w:rPr>
    </w:pPr>
  </w:p>
  <w:p w:rsidRPr="00017C9B" w:rsidR="001338AE" w:rsidP="009860F8" w:rsidRDefault="001338AE" w14:paraId="60E2E432" w14:textId="5CEB82A1">
    <w:pPr>
      <w:pStyle w:val="Encabezado"/>
      <w:tabs>
        <w:tab w:val="right" w:pos="8838"/>
      </w:tabs>
      <w:rPr>
        <w:rFonts w:ascii="Arial" w:hAnsi="Arial" w:cs="Arial"/>
        <w:sz w:val="22"/>
        <w:szCs w:val="22"/>
        <w:lang w:val="es-CO"/>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w:rsidRPr="00E65D33" w:rsidR="001338AE" w:rsidP="003541FE" w:rsidRDefault="001338AE" w14:paraId="1B76E4F3" w14:textId="77777777">
    <w:pPr>
      <w:pStyle w:val="Ttulo"/>
      <w:ind w:right="51"/>
      <w:jc w:val="center"/>
      <w:rPr>
        <w:rFonts w:ascii="Arial" w:hAnsi="Arial" w:cs="Arial"/>
        <w:sz w:val="28"/>
        <w:szCs w:val="28"/>
      </w:rPr>
    </w:pPr>
  </w:p>
  <w:p w:rsidR="001338AE" w:rsidP="003541FE" w:rsidRDefault="001338AE" w14:paraId="3B39F9C5" w14:textId="77777777">
    <w:pPr>
      <w:pStyle w:val="Ttulo"/>
      <w:jc w:val="center"/>
      <w:rPr>
        <w:rFonts w:ascii="Arial" w:hAnsi="Arial" w:cs="Arial"/>
        <w:b/>
        <w:sz w:val="28"/>
        <w:szCs w:val="28"/>
      </w:rPr>
    </w:pPr>
  </w:p>
  <w:p w:rsidR="001338AE" w:rsidP="003541FE" w:rsidRDefault="001338AE" w14:paraId="3A2FDCF3" w14:textId="77777777">
    <w:pPr>
      <w:pStyle w:val="Ttulo"/>
      <w:jc w:val="center"/>
      <w:rPr>
        <w:rFonts w:ascii="Arial" w:hAnsi="Arial" w:cs="Arial"/>
        <w:b/>
        <w:sz w:val="28"/>
        <w:szCs w:val="28"/>
      </w:rPr>
    </w:pPr>
  </w:p>
  <w:p w:rsidR="001338AE" w:rsidP="003541FE" w:rsidRDefault="001338AE" w14:paraId="593C1CB5" w14:textId="77777777">
    <w:pPr>
      <w:pStyle w:val="Ttulo"/>
      <w:jc w:val="center"/>
      <w:rPr>
        <w:rFonts w:ascii="Arial" w:hAnsi="Arial" w:cs="Arial"/>
        <w:b/>
        <w:sz w:val="28"/>
        <w:szCs w:val="28"/>
      </w:rPr>
    </w:pPr>
    <w:r w:rsidRPr="00937762">
      <w:rPr>
        <w:rFonts w:ascii="Times New Roman" w:hAnsi="Times New Roman" w:eastAsia="Times New Roman" w:cs="Arial"/>
        <w:b/>
        <w:noProof/>
        <w:spacing w:val="0"/>
        <w:kern w:val="0"/>
        <w:sz w:val="28"/>
        <w:szCs w:val="24"/>
        <w:lang w:val="en-US"/>
      </w:rPr>
      <w:drawing>
        <wp:anchor distT="0" distB="0" distL="114300" distR="114300" simplePos="0" relativeHeight="251659264" behindDoc="0" locked="0" layoutInCell="1" allowOverlap="1" wp14:anchorId="381F1D86" wp14:editId="1CBC5F78">
          <wp:simplePos x="0" y="0"/>
          <wp:positionH relativeFrom="margin">
            <wp:posOffset>120015</wp:posOffset>
          </wp:positionH>
          <wp:positionV relativeFrom="paragraph">
            <wp:posOffset>5715</wp:posOffset>
          </wp:positionV>
          <wp:extent cx="1333500" cy="114681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3500" cy="1146810"/>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5B4A70" w:rsidR="001338AE" w:rsidP="003541FE" w:rsidRDefault="001338AE" w14:paraId="72264210" w14:textId="77777777">
    <w:pPr>
      <w:pStyle w:val="Ttulo"/>
      <w:jc w:val="center"/>
      <w:rPr>
        <w:rFonts w:ascii="Arial" w:hAnsi="Arial" w:cs="Arial"/>
        <w:sz w:val="28"/>
        <w:szCs w:val="28"/>
      </w:rPr>
    </w:pPr>
    <w:r w:rsidRPr="00E65D33">
      <w:rPr>
        <w:rFonts w:ascii="Arial" w:hAnsi="Arial" w:cs="Arial"/>
        <w:b/>
        <w:sz w:val="28"/>
        <w:szCs w:val="28"/>
      </w:rPr>
      <w:t>CONSEJO DE ESTADO</w:t>
    </w:r>
  </w:p>
  <w:p w:rsidRPr="00FD2F8A" w:rsidR="001338AE" w:rsidP="003541FE" w:rsidRDefault="001338AE" w14:paraId="40C158BF" w14:textId="77777777">
    <w:pPr>
      <w:pStyle w:val="Ttulo"/>
      <w:tabs>
        <w:tab w:val="left" w:pos="376"/>
        <w:tab w:val="left" w:pos="675"/>
        <w:tab w:val="left" w:pos="1230"/>
      </w:tabs>
      <w:jc w:val="center"/>
      <w:rPr>
        <w:rFonts w:ascii="Arial" w:hAnsi="Arial" w:cs="Arial"/>
        <w:b/>
        <w:sz w:val="28"/>
        <w:szCs w:val="28"/>
      </w:rPr>
    </w:pPr>
    <w:r>
      <w:rPr>
        <w:rFonts w:ascii="Arial" w:hAnsi="Arial" w:cs="Arial"/>
        <w:b/>
        <w:sz w:val="28"/>
        <w:szCs w:val="28"/>
      </w:rPr>
      <w:tab/>
    </w:r>
    <w:r>
      <w:rPr>
        <w:rFonts w:ascii="Arial" w:hAnsi="Arial" w:cs="Arial"/>
        <w:b/>
        <w:sz w:val="28"/>
        <w:szCs w:val="28"/>
      </w:rPr>
      <w:tab/>
    </w:r>
    <w:r>
      <w:rPr>
        <w:rFonts w:ascii="Arial" w:hAnsi="Arial" w:cs="Arial"/>
        <w:b/>
        <w:sz w:val="28"/>
        <w:szCs w:val="28"/>
      </w:rPr>
      <w:tab/>
    </w:r>
  </w:p>
  <w:p w:rsidR="001338AE" w:rsidP="003541FE" w:rsidRDefault="001338AE" w14:paraId="547677D2" w14:textId="77777777">
    <w:pPr>
      <w:jc w:val="center"/>
      <w:rPr>
        <w:rFonts w:cs="Arial"/>
        <w:b/>
        <w:bCs/>
      </w:rPr>
    </w:pPr>
    <w:r w:rsidRPr="00E65D33">
      <w:rPr>
        <w:rFonts w:cs="Arial"/>
        <w:b/>
        <w:bCs/>
      </w:rPr>
      <w:t>SALA DE CONSULTA Y SERVICIO CIV</w:t>
    </w:r>
    <w:r>
      <w:rPr>
        <w:rFonts w:cs="Arial"/>
        <w:b/>
        <w:bCs/>
      </w:rPr>
      <w:t>IL</w:t>
    </w:r>
  </w:p>
  <w:p w:rsidRPr="00B07845" w:rsidR="001338AE" w:rsidP="003541FE" w:rsidRDefault="001338AE" w14:paraId="5FDF845C" w14:textId="48D879DB">
    <w:pPr>
      <w:jc w:val="center"/>
      <w:rPr>
        <w:rFonts w:cs="Arial"/>
        <w:b/>
        <w:bCs/>
        <w:sz w:val="22"/>
      </w:rPr>
    </w:pPr>
    <w:r w:rsidRPr="00B07845">
      <w:rPr>
        <w:rFonts w:cs="Arial"/>
        <w:bCs/>
        <w:sz w:val="22"/>
      </w:rPr>
      <w:t>Consejer</w:t>
    </w:r>
    <w:r>
      <w:rPr>
        <w:rFonts w:cs="Arial"/>
        <w:bCs/>
        <w:sz w:val="22"/>
      </w:rPr>
      <w:t>a</w:t>
    </w:r>
    <w:r w:rsidRPr="00B07845">
      <w:rPr>
        <w:rFonts w:cs="Arial"/>
        <w:bCs/>
        <w:sz w:val="22"/>
      </w:rPr>
      <w:t xml:space="preserve"> ponente: </w:t>
    </w:r>
    <w:r>
      <w:rPr>
        <w:rFonts w:cs="Arial"/>
        <w:bCs/>
        <w:sz w:val="22"/>
      </w:rPr>
      <w:t>María del Pilar Bahamón Falla</w:t>
    </w:r>
    <w:r w:rsidRPr="00E7463F">
      <w:rPr>
        <w:rFonts w:cs="Arial"/>
        <w:b/>
        <w:bCs/>
        <w:sz w:val="22"/>
      </w:rPr>
      <w:t xml:space="preserve">   </w:t>
    </w:r>
  </w:p>
  <w:p w:rsidRPr="00366CFE" w:rsidR="001338AE" w:rsidP="003541FE" w:rsidRDefault="001338AE" w14:paraId="1CE5ABCB" w14:textId="77777777">
    <w:pPr>
      <w:pStyle w:val="Encabezado"/>
      <w:pBdr>
        <w:bottom w:val="thickThinSmallGap" w:color="622423" w:sz="24" w:space="0"/>
      </w:pBdr>
      <w:jc w:val="center"/>
      <w:rPr>
        <w:rStyle w:val="Referenciasutil"/>
        <w:lang w:val="es-CO"/>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C5E7A"/>
    <w:multiLevelType w:val="hybridMultilevel"/>
    <w:tmpl w:val="6B02B5DE"/>
    <w:lvl w:ilvl="0" w:tplc="240A000F">
      <w:start w:val="1"/>
      <w:numFmt w:val="decimal"/>
      <w:lvlText w:val="%1."/>
      <w:lvlJc w:val="left"/>
      <w:pPr>
        <w:ind w:left="720" w:hanging="360"/>
      </w:pPr>
    </w:lvl>
    <w:lvl w:ilvl="1" w:tplc="639E177A">
      <w:start w:val="1"/>
      <w:numFmt w:val="lowerLetter"/>
      <w:lvlText w:val="%2."/>
      <w:lvlJc w:val="left"/>
      <w:pPr>
        <w:ind w:left="1440" w:hanging="360"/>
      </w:pPr>
    </w:lvl>
    <w:lvl w:ilvl="2" w:tplc="A39ABA32">
      <w:start w:val="1"/>
      <w:numFmt w:val="lowerRoman"/>
      <w:lvlText w:val="%3)"/>
      <w:lvlJc w:val="left"/>
      <w:pPr>
        <w:ind w:left="2700" w:hanging="720"/>
      </w:pPr>
      <w:rPr>
        <w:i/>
        <w:iCs/>
      </w:r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1" w15:restartNumberingAfterBreak="0">
    <w:nsid w:val="026805BD"/>
    <w:multiLevelType w:val="multilevel"/>
    <w:tmpl w:val="8AA421EC"/>
    <w:lvl w:ilvl="0">
      <w:start w:val="1"/>
      <w:numFmt w:val="upperRoman"/>
      <w:lvlText w:val="%1."/>
      <w:lvlJc w:val="left"/>
      <w:pPr>
        <w:ind w:left="1080" w:hanging="720"/>
      </w:pPr>
      <w:rPr>
        <w:rFonts w:hint="default"/>
        <w:lang w:val="es-MX"/>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0E050A52"/>
    <w:multiLevelType w:val="hybridMultilevel"/>
    <w:tmpl w:val="914CA304"/>
    <w:lvl w:ilvl="0" w:tplc="773A6A8E">
      <w:start w:val="1"/>
      <w:numFmt w:val="decimal"/>
      <w:lvlText w:val="%1."/>
      <w:lvlJc w:val="left"/>
      <w:pPr>
        <w:ind w:left="720" w:hanging="360"/>
      </w:pPr>
      <w:rPr>
        <w:rFonts w:hint="default" w:ascii="Arial" w:hAnsi="Arial" w:cs="Arial"/>
        <w:b/>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0921A7"/>
    <w:multiLevelType w:val="hybridMultilevel"/>
    <w:tmpl w:val="B8226F56"/>
    <w:lvl w:ilvl="0" w:tplc="905CC1A0">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53A79CD"/>
    <w:multiLevelType w:val="multilevel"/>
    <w:tmpl w:val="16AC480C"/>
    <w:lvl w:ilvl="0">
      <w:start w:val="8"/>
      <w:numFmt w:val="decimal"/>
      <w:lvlText w:val="%1."/>
      <w:lvlJc w:val="left"/>
      <w:pPr>
        <w:ind w:left="408" w:hanging="408"/>
      </w:pPr>
      <w:rPr>
        <w:rFonts w:hint="default"/>
      </w:rPr>
    </w:lvl>
    <w:lvl w:ilvl="1">
      <w:start w:val="1"/>
      <w:numFmt w:val="decimal"/>
      <w:lvlText w:val="%1.%2."/>
      <w:lvlJc w:val="left"/>
      <w:pPr>
        <w:ind w:left="1128" w:hanging="720"/>
      </w:pPr>
      <w:rPr>
        <w:rFonts w:hint="default" w:ascii="Arial" w:hAnsi="Arial" w:cs="Arial"/>
        <w:sz w:val="24"/>
        <w:szCs w:val="24"/>
      </w:rPr>
    </w:lvl>
    <w:lvl w:ilvl="2">
      <w:start w:val="1"/>
      <w:numFmt w:val="decimal"/>
      <w:lvlText w:val="%1.%2.%3."/>
      <w:lvlJc w:val="left"/>
      <w:pPr>
        <w:ind w:left="1536" w:hanging="720"/>
      </w:pPr>
      <w:rPr>
        <w:rFonts w:hint="default"/>
      </w:rPr>
    </w:lvl>
    <w:lvl w:ilvl="3">
      <w:start w:val="1"/>
      <w:numFmt w:val="decimal"/>
      <w:lvlText w:val="%1.%2.%3.%4."/>
      <w:lvlJc w:val="left"/>
      <w:pPr>
        <w:ind w:left="2304" w:hanging="1080"/>
      </w:pPr>
      <w:rPr>
        <w:rFonts w:hint="default"/>
      </w:rPr>
    </w:lvl>
    <w:lvl w:ilvl="4">
      <w:start w:val="1"/>
      <w:numFmt w:val="decimal"/>
      <w:lvlText w:val="%1.%2.%3.%4.%5."/>
      <w:lvlJc w:val="left"/>
      <w:pPr>
        <w:ind w:left="2712" w:hanging="1080"/>
      </w:pPr>
      <w:rPr>
        <w:rFonts w:hint="default"/>
      </w:rPr>
    </w:lvl>
    <w:lvl w:ilvl="5">
      <w:start w:val="1"/>
      <w:numFmt w:val="decimal"/>
      <w:lvlText w:val="%1.%2.%3.%4.%5.%6."/>
      <w:lvlJc w:val="left"/>
      <w:pPr>
        <w:ind w:left="3480" w:hanging="1440"/>
      </w:pPr>
      <w:rPr>
        <w:rFonts w:hint="default"/>
      </w:rPr>
    </w:lvl>
    <w:lvl w:ilvl="6">
      <w:start w:val="1"/>
      <w:numFmt w:val="decimal"/>
      <w:lvlText w:val="%1.%2.%3.%4.%5.%6.%7."/>
      <w:lvlJc w:val="left"/>
      <w:pPr>
        <w:ind w:left="3888" w:hanging="1440"/>
      </w:pPr>
      <w:rPr>
        <w:rFonts w:hint="default"/>
      </w:rPr>
    </w:lvl>
    <w:lvl w:ilvl="7">
      <w:start w:val="1"/>
      <w:numFmt w:val="decimal"/>
      <w:lvlText w:val="%1.%2.%3.%4.%5.%6.%7.%8."/>
      <w:lvlJc w:val="left"/>
      <w:pPr>
        <w:ind w:left="4656" w:hanging="1800"/>
      </w:pPr>
      <w:rPr>
        <w:rFonts w:hint="default"/>
      </w:rPr>
    </w:lvl>
    <w:lvl w:ilvl="8">
      <w:start w:val="1"/>
      <w:numFmt w:val="decimal"/>
      <w:lvlText w:val="%1.%2.%3.%4.%5.%6.%7.%8.%9."/>
      <w:lvlJc w:val="left"/>
      <w:pPr>
        <w:ind w:left="5424" w:hanging="2160"/>
      </w:pPr>
      <w:rPr>
        <w:rFonts w:hint="default"/>
      </w:rPr>
    </w:lvl>
  </w:abstractNum>
  <w:abstractNum w:abstractNumId="5" w15:restartNumberingAfterBreak="0">
    <w:nsid w:val="1E5725E0"/>
    <w:multiLevelType w:val="multilevel"/>
    <w:tmpl w:val="5EAC4726"/>
    <w:lvl w:ilvl="0">
      <w:start w:val="3"/>
      <w:numFmt w:val="decimal"/>
      <w:lvlText w:val="%1."/>
      <w:lvlJc w:val="left"/>
      <w:pPr>
        <w:ind w:left="705" w:hanging="705"/>
      </w:pPr>
      <w:rPr>
        <w:rFonts w:hint="default" w:ascii="Arial" w:hAnsi="Arial" w:cs="Arial"/>
        <w:b/>
        <w:bCs/>
        <w:sz w:val="24"/>
        <w:szCs w:val="24"/>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25D351DC"/>
    <w:multiLevelType w:val="multilevel"/>
    <w:tmpl w:val="50A643F4"/>
    <w:lvl w:ilvl="0">
      <w:start w:val="8"/>
      <w:numFmt w:val="decimal"/>
      <w:lvlText w:val="%1."/>
      <w:lvlJc w:val="left"/>
      <w:pPr>
        <w:ind w:left="408" w:hanging="408"/>
      </w:pPr>
      <w:rPr>
        <w:rFonts w:hint="default"/>
      </w:rPr>
    </w:lvl>
    <w:lvl w:ilvl="1">
      <w:start w:val="4"/>
      <w:numFmt w:val="decimal"/>
      <w:lvlText w:val="%1.%2."/>
      <w:lvlJc w:val="left"/>
      <w:pPr>
        <w:ind w:left="1128" w:hanging="720"/>
      </w:pPr>
      <w:rPr>
        <w:rFonts w:hint="default"/>
      </w:rPr>
    </w:lvl>
    <w:lvl w:ilvl="2">
      <w:start w:val="1"/>
      <w:numFmt w:val="decimal"/>
      <w:lvlText w:val="%1.%2.%3."/>
      <w:lvlJc w:val="left"/>
      <w:pPr>
        <w:ind w:left="1536" w:hanging="720"/>
      </w:pPr>
      <w:rPr>
        <w:rFonts w:hint="default"/>
      </w:rPr>
    </w:lvl>
    <w:lvl w:ilvl="3">
      <w:start w:val="1"/>
      <w:numFmt w:val="decimal"/>
      <w:lvlText w:val="%1.%2.%3.%4."/>
      <w:lvlJc w:val="left"/>
      <w:pPr>
        <w:ind w:left="2304" w:hanging="1080"/>
      </w:pPr>
      <w:rPr>
        <w:rFonts w:hint="default"/>
      </w:rPr>
    </w:lvl>
    <w:lvl w:ilvl="4">
      <w:start w:val="1"/>
      <w:numFmt w:val="decimal"/>
      <w:lvlText w:val="%1.%2.%3.%4.%5."/>
      <w:lvlJc w:val="left"/>
      <w:pPr>
        <w:ind w:left="2712" w:hanging="1080"/>
      </w:pPr>
      <w:rPr>
        <w:rFonts w:hint="default"/>
      </w:rPr>
    </w:lvl>
    <w:lvl w:ilvl="5">
      <w:start w:val="1"/>
      <w:numFmt w:val="decimal"/>
      <w:lvlText w:val="%1.%2.%3.%4.%5.%6."/>
      <w:lvlJc w:val="left"/>
      <w:pPr>
        <w:ind w:left="3480" w:hanging="1440"/>
      </w:pPr>
      <w:rPr>
        <w:rFonts w:hint="default"/>
      </w:rPr>
    </w:lvl>
    <w:lvl w:ilvl="6">
      <w:start w:val="1"/>
      <w:numFmt w:val="decimal"/>
      <w:lvlText w:val="%1.%2.%3.%4.%5.%6.%7."/>
      <w:lvlJc w:val="left"/>
      <w:pPr>
        <w:ind w:left="3888" w:hanging="1440"/>
      </w:pPr>
      <w:rPr>
        <w:rFonts w:hint="default"/>
      </w:rPr>
    </w:lvl>
    <w:lvl w:ilvl="7">
      <w:start w:val="1"/>
      <w:numFmt w:val="decimal"/>
      <w:lvlText w:val="%1.%2.%3.%4.%5.%6.%7.%8."/>
      <w:lvlJc w:val="left"/>
      <w:pPr>
        <w:ind w:left="4656" w:hanging="1800"/>
      </w:pPr>
      <w:rPr>
        <w:rFonts w:hint="default"/>
      </w:rPr>
    </w:lvl>
    <w:lvl w:ilvl="8">
      <w:start w:val="1"/>
      <w:numFmt w:val="decimal"/>
      <w:lvlText w:val="%1.%2.%3.%4.%5.%6.%7.%8.%9."/>
      <w:lvlJc w:val="left"/>
      <w:pPr>
        <w:ind w:left="5424" w:hanging="2160"/>
      </w:pPr>
      <w:rPr>
        <w:rFonts w:hint="default"/>
      </w:rPr>
    </w:lvl>
  </w:abstractNum>
  <w:abstractNum w:abstractNumId="7" w15:restartNumberingAfterBreak="0">
    <w:nsid w:val="29850C34"/>
    <w:multiLevelType w:val="hybridMultilevel"/>
    <w:tmpl w:val="FE8E58D2"/>
    <w:lvl w:ilvl="0" w:tplc="5BD2FD46">
      <w:start w:val="7"/>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37AA2EE2"/>
    <w:multiLevelType w:val="hybridMultilevel"/>
    <w:tmpl w:val="266A1CB6"/>
    <w:lvl w:ilvl="0" w:tplc="EC5E9344">
      <w:start w:val="1"/>
      <w:numFmt w:val="lowerRoman"/>
      <w:lvlText w:val="%1)"/>
      <w:lvlJc w:val="left"/>
      <w:pPr>
        <w:ind w:left="1080" w:hanging="720"/>
      </w:pPr>
      <w:rPr>
        <w:rFonts w:hint="default"/>
        <w: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3D081E00"/>
    <w:multiLevelType w:val="hybridMultilevel"/>
    <w:tmpl w:val="00FAEE22"/>
    <w:lvl w:ilvl="0" w:tplc="1ECE307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F4750C2"/>
    <w:multiLevelType w:val="hybridMultilevel"/>
    <w:tmpl w:val="2A60EC62"/>
    <w:lvl w:ilvl="0" w:tplc="0962653A">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503C44D5"/>
    <w:multiLevelType w:val="hybridMultilevel"/>
    <w:tmpl w:val="5532B2BA"/>
    <w:lvl w:ilvl="0" w:tplc="1B04D49C">
      <w:start w:val="1"/>
      <w:numFmt w:val="lowerLetter"/>
      <w:lvlText w:val="%1)"/>
      <w:lvlJc w:val="left"/>
      <w:pPr>
        <w:ind w:left="720" w:hanging="360"/>
      </w:pPr>
      <w:rPr>
        <w:rFonts w:hint="default"/>
        <w:b w:val="0"/>
        <w:bCs/>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52914A4C"/>
    <w:multiLevelType w:val="hybridMultilevel"/>
    <w:tmpl w:val="2CC4B1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62EF3"/>
    <w:multiLevelType w:val="hybridMultilevel"/>
    <w:tmpl w:val="CF0A28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9AC32F5"/>
    <w:multiLevelType w:val="hybridMultilevel"/>
    <w:tmpl w:val="09EE2EE8"/>
    <w:lvl w:ilvl="0" w:tplc="988CD562">
      <w:start w:val="1"/>
      <w:numFmt w:val="lowerLetter"/>
      <w:lvlText w:val="%1."/>
      <w:lvlJc w:val="left"/>
      <w:pPr>
        <w:ind w:left="1070" w:hanging="360"/>
      </w:pPr>
      <w:rPr>
        <w:b/>
        <w:bCs/>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15" w15:restartNumberingAfterBreak="0">
    <w:nsid w:val="6A7E4293"/>
    <w:multiLevelType w:val="multilevel"/>
    <w:tmpl w:val="F420EF3A"/>
    <w:lvl w:ilvl="0">
      <w:start w:val="3"/>
      <w:numFmt w:val="decimal"/>
      <w:lvlText w:val="%1."/>
      <w:lvlJc w:val="left"/>
      <w:pPr>
        <w:ind w:left="400" w:hanging="400"/>
      </w:pPr>
    </w:lvl>
    <w:lvl w:ilvl="1">
      <w:start w:val="1"/>
      <w:numFmt w:val="decimal"/>
      <w:lvlText w:val="%1.%2."/>
      <w:lvlJc w:val="left"/>
      <w:pPr>
        <w:ind w:left="720" w:hanging="720"/>
      </w:pPr>
      <w:rPr>
        <w:b/>
        <w:bCs/>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6" w15:restartNumberingAfterBreak="0">
    <w:nsid w:val="6C95647E"/>
    <w:multiLevelType w:val="hybridMultilevel"/>
    <w:tmpl w:val="0AEEB79A"/>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72FA4180"/>
    <w:multiLevelType w:val="hybridMultilevel"/>
    <w:tmpl w:val="23421634"/>
    <w:lvl w:ilvl="0" w:tplc="F68032B2">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4261EFD"/>
    <w:multiLevelType w:val="hybridMultilevel"/>
    <w:tmpl w:val="FEA4618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7A0F51BC"/>
    <w:multiLevelType w:val="hybridMultilevel"/>
    <w:tmpl w:val="DDD24E42"/>
    <w:lvl w:ilvl="0" w:tplc="4D6443A0">
      <w:start w:val="1"/>
      <w:numFmt w:val="decimal"/>
      <w:lvlText w:val="%1)"/>
      <w:lvlJc w:val="left"/>
      <w:pPr>
        <w:ind w:left="6314" w:hanging="360"/>
      </w:pPr>
      <w:rPr>
        <w:rFonts w:hint="default"/>
      </w:rPr>
    </w:lvl>
    <w:lvl w:ilvl="1" w:tplc="080A0019" w:tentative="1">
      <w:start w:val="1"/>
      <w:numFmt w:val="lowerLetter"/>
      <w:lvlText w:val="%2."/>
      <w:lvlJc w:val="left"/>
      <w:pPr>
        <w:ind w:left="7034" w:hanging="360"/>
      </w:pPr>
    </w:lvl>
    <w:lvl w:ilvl="2" w:tplc="080A001B" w:tentative="1">
      <w:start w:val="1"/>
      <w:numFmt w:val="lowerRoman"/>
      <w:lvlText w:val="%3."/>
      <w:lvlJc w:val="right"/>
      <w:pPr>
        <w:ind w:left="7754" w:hanging="180"/>
      </w:pPr>
    </w:lvl>
    <w:lvl w:ilvl="3" w:tplc="080A000F" w:tentative="1">
      <w:start w:val="1"/>
      <w:numFmt w:val="decimal"/>
      <w:lvlText w:val="%4."/>
      <w:lvlJc w:val="left"/>
      <w:pPr>
        <w:ind w:left="8474" w:hanging="360"/>
      </w:pPr>
    </w:lvl>
    <w:lvl w:ilvl="4" w:tplc="080A0019" w:tentative="1">
      <w:start w:val="1"/>
      <w:numFmt w:val="lowerLetter"/>
      <w:lvlText w:val="%5."/>
      <w:lvlJc w:val="left"/>
      <w:pPr>
        <w:ind w:left="9194" w:hanging="360"/>
      </w:pPr>
    </w:lvl>
    <w:lvl w:ilvl="5" w:tplc="080A001B" w:tentative="1">
      <w:start w:val="1"/>
      <w:numFmt w:val="lowerRoman"/>
      <w:lvlText w:val="%6."/>
      <w:lvlJc w:val="right"/>
      <w:pPr>
        <w:ind w:left="9914" w:hanging="180"/>
      </w:pPr>
    </w:lvl>
    <w:lvl w:ilvl="6" w:tplc="080A000F" w:tentative="1">
      <w:start w:val="1"/>
      <w:numFmt w:val="decimal"/>
      <w:lvlText w:val="%7."/>
      <w:lvlJc w:val="left"/>
      <w:pPr>
        <w:ind w:left="10634" w:hanging="360"/>
      </w:pPr>
    </w:lvl>
    <w:lvl w:ilvl="7" w:tplc="080A0019" w:tentative="1">
      <w:start w:val="1"/>
      <w:numFmt w:val="lowerLetter"/>
      <w:lvlText w:val="%8."/>
      <w:lvlJc w:val="left"/>
      <w:pPr>
        <w:ind w:left="11354" w:hanging="360"/>
      </w:pPr>
    </w:lvl>
    <w:lvl w:ilvl="8" w:tplc="080A001B" w:tentative="1">
      <w:start w:val="1"/>
      <w:numFmt w:val="lowerRoman"/>
      <w:lvlText w:val="%9."/>
      <w:lvlJc w:val="right"/>
      <w:pPr>
        <w:ind w:left="12074" w:hanging="180"/>
      </w:pPr>
    </w:lvl>
  </w:abstractNum>
  <w:abstractNum w:abstractNumId="20" w15:restartNumberingAfterBreak="0">
    <w:nsid w:val="7AE87C86"/>
    <w:multiLevelType w:val="hybridMultilevel"/>
    <w:tmpl w:val="34ECA864"/>
    <w:lvl w:ilvl="0" w:tplc="9D565832">
      <w:start w:val="1"/>
      <w:numFmt w:val="lowerRoman"/>
      <w:lvlText w:val="%1)"/>
      <w:lvlJc w:val="left"/>
      <w:pPr>
        <w:ind w:left="1068" w:hanging="360"/>
      </w:pPr>
      <w:rPr>
        <w:i/>
        <w:iCs/>
      </w:rPr>
    </w:lvl>
    <w:lvl w:ilvl="1" w:tplc="040A0019">
      <w:start w:val="1"/>
      <w:numFmt w:val="lowerLetter"/>
      <w:lvlText w:val="%2."/>
      <w:lvlJc w:val="left"/>
      <w:pPr>
        <w:ind w:left="168" w:hanging="360"/>
      </w:pPr>
    </w:lvl>
    <w:lvl w:ilvl="2" w:tplc="040A001B">
      <w:start w:val="1"/>
      <w:numFmt w:val="lowerRoman"/>
      <w:lvlText w:val="%3."/>
      <w:lvlJc w:val="right"/>
      <w:pPr>
        <w:ind w:left="888" w:hanging="180"/>
      </w:pPr>
    </w:lvl>
    <w:lvl w:ilvl="3" w:tplc="040A000F">
      <w:start w:val="1"/>
      <w:numFmt w:val="decimal"/>
      <w:lvlText w:val="%4."/>
      <w:lvlJc w:val="left"/>
      <w:pPr>
        <w:ind w:left="1608" w:hanging="360"/>
      </w:pPr>
    </w:lvl>
    <w:lvl w:ilvl="4" w:tplc="040A0019">
      <w:start w:val="1"/>
      <w:numFmt w:val="lowerLetter"/>
      <w:lvlText w:val="%5."/>
      <w:lvlJc w:val="left"/>
      <w:pPr>
        <w:ind w:left="2328" w:hanging="360"/>
      </w:pPr>
    </w:lvl>
    <w:lvl w:ilvl="5" w:tplc="040A001B">
      <w:start w:val="1"/>
      <w:numFmt w:val="lowerRoman"/>
      <w:lvlText w:val="%6."/>
      <w:lvlJc w:val="right"/>
      <w:pPr>
        <w:ind w:left="3048" w:hanging="180"/>
      </w:pPr>
    </w:lvl>
    <w:lvl w:ilvl="6" w:tplc="040A000F">
      <w:start w:val="1"/>
      <w:numFmt w:val="decimal"/>
      <w:lvlText w:val="%7."/>
      <w:lvlJc w:val="left"/>
      <w:pPr>
        <w:ind w:left="3768" w:hanging="360"/>
      </w:pPr>
    </w:lvl>
    <w:lvl w:ilvl="7" w:tplc="040A0019">
      <w:start w:val="1"/>
      <w:numFmt w:val="lowerLetter"/>
      <w:lvlText w:val="%8."/>
      <w:lvlJc w:val="left"/>
      <w:pPr>
        <w:ind w:left="4488" w:hanging="360"/>
      </w:pPr>
    </w:lvl>
    <w:lvl w:ilvl="8" w:tplc="040A001B">
      <w:start w:val="1"/>
      <w:numFmt w:val="lowerRoman"/>
      <w:lvlText w:val="%9."/>
      <w:lvlJc w:val="right"/>
      <w:pPr>
        <w:ind w:left="5208"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4"/>
  </w:num>
  <w:num w:numId="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5"/>
  </w:num>
  <w:num w:numId="6">
    <w:abstractNumId w:val="2"/>
  </w:num>
  <w:num w:numId="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num>
  <w:num w:numId="9">
    <w:abstractNumId w:val="4"/>
  </w:num>
  <w:num w:numId="10">
    <w:abstractNumId w:val="6"/>
  </w:num>
  <w:num w:numId="11">
    <w:abstractNumId w:val="3"/>
  </w:num>
  <w:num w:numId="12">
    <w:abstractNumId w:val="12"/>
  </w:num>
  <w:num w:numId="13">
    <w:abstractNumId w:val="9"/>
  </w:num>
  <w:num w:numId="14">
    <w:abstractNumId w:val="0"/>
  </w:num>
  <w:num w:numId="15">
    <w:abstractNumId w:val="16"/>
  </w:num>
  <w:num w:numId="16">
    <w:abstractNumId w:val="10"/>
  </w:num>
  <w:num w:numId="17">
    <w:abstractNumId w:val="19"/>
  </w:num>
  <w:num w:numId="18">
    <w:abstractNumId w:val="1"/>
  </w:num>
  <w:num w:numId="19">
    <w:abstractNumId w:val="5"/>
  </w:num>
  <w:num w:numId="20">
    <w:abstractNumId w:val="11"/>
  </w:num>
  <w:num w:numId="21">
    <w:abstractNumId w:val="13"/>
  </w:num>
  <w:num w:numId="22">
    <w:abstractNumId w:val="17"/>
  </w:num>
  <w:num w:numId="23">
    <w:abstractNumId w:val="18"/>
  </w:num>
  <w:numIdMacAtCleanup w:val="10"/>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35"/>
  <w:trackRevisions w:val="false"/>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6989"/>
    <w:rsid w:val="000016DC"/>
    <w:rsid w:val="0000321D"/>
    <w:rsid w:val="000042F2"/>
    <w:rsid w:val="00005C01"/>
    <w:rsid w:val="00005C47"/>
    <w:rsid w:val="000075BC"/>
    <w:rsid w:val="000110A3"/>
    <w:rsid w:val="0001356E"/>
    <w:rsid w:val="00014330"/>
    <w:rsid w:val="0001496A"/>
    <w:rsid w:val="00014F0E"/>
    <w:rsid w:val="00016E63"/>
    <w:rsid w:val="00016F9F"/>
    <w:rsid w:val="00017C9B"/>
    <w:rsid w:val="00021EDD"/>
    <w:rsid w:val="000220F9"/>
    <w:rsid w:val="00023D7D"/>
    <w:rsid w:val="000240D7"/>
    <w:rsid w:val="00024A7A"/>
    <w:rsid w:val="00025FB0"/>
    <w:rsid w:val="0002699D"/>
    <w:rsid w:val="00026B63"/>
    <w:rsid w:val="00031622"/>
    <w:rsid w:val="00034373"/>
    <w:rsid w:val="000353A4"/>
    <w:rsid w:val="000360C0"/>
    <w:rsid w:val="00040F5B"/>
    <w:rsid w:val="000453D6"/>
    <w:rsid w:val="00045C74"/>
    <w:rsid w:val="00046A31"/>
    <w:rsid w:val="00051B10"/>
    <w:rsid w:val="00056D84"/>
    <w:rsid w:val="00057AE1"/>
    <w:rsid w:val="000634BF"/>
    <w:rsid w:val="00064232"/>
    <w:rsid w:val="0006556C"/>
    <w:rsid w:val="00066C9C"/>
    <w:rsid w:val="000709F5"/>
    <w:rsid w:val="0007312D"/>
    <w:rsid w:val="00075212"/>
    <w:rsid w:val="0007624E"/>
    <w:rsid w:val="00084229"/>
    <w:rsid w:val="000858C2"/>
    <w:rsid w:val="00085E06"/>
    <w:rsid w:val="00086CDD"/>
    <w:rsid w:val="000875DB"/>
    <w:rsid w:val="0009064A"/>
    <w:rsid w:val="00090EC1"/>
    <w:rsid w:val="000939D1"/>
    <w:rsid w:val="00094E2E"/>
    <w:rsid w:val="0009692A"/>
    <w:rsid w:val="000A234A"/>
    <w:rsid w:val="000A2630"/>
    <w:rsid w:val="000A3560"/>
    <w:rsid w:val="000A383A"/>
    <w:rsid w:val="000A46F3"/>
    <w:rsid w:val="000A6F55"/>
    <w:rsid w:val="000B5B68"/>
    <w:rsid w:val="000B5D27"/>
    <w:rsid w:val="000B7756"/>
    <w:rsid w:val="000B79B1"/>
    <w:rsid w:val="000C1B5B"/>
    <w:rsid w:val="000C1D89"/>
    <w:rsid w:val="000C3FF8"/>
    <w:rsid w:val="000C45DE"/>
    <w:rsid w:val="000C79AB"/>
    <w:rsid w:val="000D0FE3"/>
    <w:rsid w:val="000D1876"/>
    <w:rsid w:val="000D42B7"/>
    <w:rsid w:val="000D479A"/>
    <w:rsid w:val="000D500D"/>
    <w:rsid w:val="000D634F"/>
    <w:rsid w:val="000D7A78"/>
    <w:rsid w:val="000E0E84"/>
    <w:rsid w:val="000E40D8"/>
    <w:rsid w:val="000E455D"/>
    <w:rsid w:val="000F21D2"/>
    <w:rsid w:val="000F2B77"/>
    <w:rsid w:val="000F3034"/>
    <w:rsid w:val="000F410B"/>
    <w:rsid w:val="000F6587"/>
    <w:rsid w:val="000F711E"/>
    <w:rsid w:val="00106795"/>
    <w:rsid w:val="00107080"/>
    <w:rsid w:val="001109D5"/>
    <w:rsid w:val="00110A21"/>
    <w:rsid w:val="00110E84"/>
    <w:rsid w:val="0011314A"/>
    <w:rsid w:val="00114A90"/>
    <w:rsid w:val="001176B9"/>
    <w:rsid w:val="00120514"/>
    <w:rsid w:val="00122B16"/>
    <w:rsid w:val="00123A60"/>
    <w:rsid w:val="00123B34"/>
    <w:rsid w:val="00132A21"/>
    <w:rsid w:val="00132B0B"/>
    <w:rsid w:val="001338AE"/>
    <w:rsid w:val="00133993"/>
    <w:rsid w:val="001348F7"/>
    <w:rsid w:val="0013578A"/>
    <w:rsid w:val="0013583E"/>
    <w:rsid w:val="00135C75"/>
    <w:rsid w:val="001368A5"/>
    <w:rsid w:val="001450FD"/>
    <w:rsid w:val="001464DE"/>
    <w:rsid w:val="00151FED"/>
    <w:rsid w:val="001520AF"/>
    <w:rsid w:val="00154D6F"/>
    <w:rsid w:val="00154EB5"/>
    <w:rsid w:val="00160C42"/>
    <w:rsid w:val="0016469F"/>
    <w:rsid w:val="001668FF"/>
    <w:rsid w:val="00167D69"/>
    <w:rsid w:val="00170B89"/>
    <w:rsid w:val="00171C92"/>
    <w:rsid w:val="00172F22"/>
    <w:rsid w:val="001730AC"/>
    <w:rsid w:val="00175917"/>
    <w:rsid w:val="001776CC"/>
    <w:rsid w:val="001812FB"/>
    <w:rsid w:val="00191193"/>
    <w:rsid w:val="00191B98"/>
    <w:rsid w:val="00192BAA"/>
    <w:rsid w:val="00193160"/>
    <w:rsid w:val="00194845"/>
    <w:rsid w:val="001A0CE0"/>
    <w:rsid w:val="001A1D1D"/>
    <w:rsid w:val="001A4EAB"/>
    <w:rsid w:val="001A72C8"/>
    <w:rsid w:val="001B0F60"/>
    <w:rsid w:val="001B4574"/>
    <w:rsid w:val="001B4CB1"/>
    <w:rsid w:val="001B518C"/>
    <w:rsid w:val="001B59DA"/>
    <w:rsid w:val="001B5A2E"/>
    <w:rsid w:val="001B7E19"/>
    <w:rsid w:val="001C024B"/>
    <w:rsid w:val="001C03B8"/>
    <w:rsid w:val="001C30FC"/>
    <w:rsid w:val="001C435E"/>
    <w:rsid w:val="001C4B80"/>
    <w:rsid w:val="001C6C2A"/>
    <w:rsid w:val="001C7D09"/>
    <w:rsid w:val="001D160A"/>
    <w:rsid w:val="001D3342"/>
    <w:rsid w:val="001D3950"/>
    <w:rsid w:val="001D4D4F"/>
    <w:rsid w:val="001D5A25"/>
    <w:rsid w:val="001D6C42"/>
    <w:rsid w:val="001D6D43"/>
    <w:rsid w:val="001D7E78"/>
    <w:rsid w:val="001E30D1"/>
    <w:rsid w:val="001E418E"/>
    <w:rsid w:val="001E56B9"/>
    <w:rsid w:val="001E5D4F"/>
    <w:rsid w:val="001E66BD"/>
    <w:rsid w:val="001F223F"/>
    <w:rsid w:val="001F292A"/>
    <w:rsid w:val="001F3B62"/>
    <w:rsid w:val="001F4A9A"/>
    <w:rsid w:val="001F4D05"/>
    <w:rsid w:val="001F4D21"/>
    <w:rsid w:val="00201D7E"/>
    <w:rsid w:val="00205052"/>
    <w:rsid w:val="00210C48"/>
    <w:rsid w:val="00212166"/>
    <w:rsid w:val="0021339F"/>
    <w:rsid w:val="002142F1"/>
    <w:rsid w:val="00214C66"/>
    <w:rsid w:val="00215AC0"/>
    <w:rsid w:val="00220EDE"/>
    <w:rsid w:val="00224D21"/>
    <w:rsid w:val="0022531E"/>
    <w:rsid w:val="00227981"/>
    <w:rsid w:val="0023031F"/>
    <w:rsid w:val="00230D70"/>
    <w:rsid w:val="00231DA1"/>
    <w:rsid w:val="00233D84"/>
    <w:rsid w:val="0023519E"/>
    <w:rsid w:val="00236074"/>
    <w:rsid w:val="002366E2"/>
    <w:rsid w:val="0023695C"/>
    <w:rsid w:val="002369C7"/>
    <w:rsid w:val="002377EF"/>
    <w:rsid w:val="002418E5"/>
    <w:rsid w:val="00243FC0"/>
    <w:rsid w:val="00246A33"/>
    <w:rsid w:val="00246E23"/>
    <w:rsid w:val="00247C89"/>
    <w:rsid w:val="002504DF"/>
    <w:rsid w:val="0025190F"/>
    <w:rsid w:val="00251BA5"/>
    <w:rsid w:val="002606AF"/>
    <w:rsid w:val="002668F8"/>
    <w:rsid w:val="00266A5E"/>
    <w:rsid w:val="00266DFF"/>
    <w:rsid w:val="00270A26"/>
    <w:rsid w:val="00272E4B"/>
    <w:rsid w:val="00274F1F"/>
    <w:rsid w:val="00275554"/>
    <w:rsid w:val="002848CC"/>
    <w:rsid w:val="00284F7D"/>
    <w:rsid w:val="0028505B"/>
    <w:rsid w:val="00291008"/>
    <w:rsid w:val="002920C9"/>
    <w:rsid w:val="0029211F"/>
    <w:rsid w:val="00292E6F"/>
    <w:rsid w:val="00293621"/>
    <w:rsid w:val="00295A5A"/>
    <w:rsid w:val="002A07CF"/>
    <w:rsid w:val="002A22AF"/>
    <w:rsid w:val="002A2485"/>
    <w:rsid w:val="002A31CA"/>
    <w:rsid w:val="002A3AA6"/>
    <w:rsid w:val="002A6B54"/>
    <w:rsid w:val="002B2D8D"/>
    <w:rsid w:val="002B5B00"/>
    <w:rsid w:val="002C0BE6"/>
    <w:rsid w:val="002C0E22"/>
    <w:rsid w:val="002C12C5"/>
    <w:rsid w:val="002C179E"/>
    <w:rsid w:val="002C2C19"/>
    <w:rsid w:val="002C3985"/>
    <w:rsid w:val="002C44D0"/>
    <w:rsid w:val="002C575B"/>
    <w:rsid w:val="002C5BF9"/>
    <w:rsid w:val="002C6347"/>
    <w:rsid w:val="002C70B2"/>
    <w:rsid w:val="002C7EC3"/>
    <w:rsid w:val="002D0124"/>
    <w:rsid w:val="002D09F7"/>
    <w:rsid w:val="002D0A40"/>
    <w:rsid w:val="002D0CF3"/>
    <w:rsid w:val="002D1F7E"/>
    <w:rsid w:val="002D37F0"/>
    <w:rsid w:val="002D3D7F"/>
    <w:rsid w:val="002D4E62"/>
    <w:rsid w:val="002D6C42"/>
    <w:rsid w:val="002E2008"/>
    <w:rsid w:val="002E220A"/>
    <w:rsid w:val="002E45D2"/>
    <w:rsid w:val="002E5D70"/>
    <w:rsid w:val="002F04CC"/>
    <w:rsid w:val="002F07FC"/>
    <w:rsid w:val="002F1B3F"/>
    <w:rsid w:val="002F26F7"/>
    <w:rsid w:val="002F2CB3"/>
    <w:rsid w:val="002F2EB3"/>
    <w:rsid w:val="002F5803"/>
    <w:rsid w:val="00303353"/>
    <w:rsid w:val="0030351D"/>
    <w:rsid w:val="0030726D"/>
    <w:rsid w:val="003073CD"/>
    <w:rsid w:val="00311253"/>
    <w:rsid w:val="00311AD8"/>
    <w:rsid w:val="00311EB1"/>
    <w:rsid w:val="00313987"/>
    <w:rsid w:val="0031518E"/>
    <w:rsid w:val="00315A10"/>
    <w:rsid w:val="00316097"/>
    <w:rsid w:val="00317480"/>
    <w:rsid w:val="003227C1"/>
    <w:rsid w:val="00326BCD"/>
    <w:rsid w:val="003305F3"/>
    <w:rsid w:val="00331352"/>
    <w:rsid w:val="003314F8"/>
    <w:rsid w:val="003329A5"/>
    <w:rsid w:val="00334A0E"/>
    <w:rsid w:val="00340577"/>
    <w:rsid w:val="00342EFE"/>
    <w:rsid w:val="00344352"/>
    <w:rsid w:val="0034489B"/>
    <w:rsid w:val="00347D66"/>
    <w:rsid w:val="00350045"/>
    <w:rsid w:val="003523F2"/>
    <w:rsid w:val="0035364D"/>
    <w:rsid w:val="003541FE"/>
    <w:rsid w:val="00354348"/>
    <w:rsid w:val="00354988"/>
    <w:rsid w:val="00356DBE"/>
    <w:rsid w:val="003571D0"/>
    <w:rsid w:val="003575DF"/>
    <w:rsid w:val="00361C14"/>
    <w:rsid w:val="00365DA2"/>
    <w:rsid w:val="0036628B"/>
    <w:rsid w:val="00367CAF"/>
    <w:rsid w:val="0037047E"/>
    <w:rsid w:val="00372A9C"/>
    <w:rsid w:val="00372ECF"/>
    <w:rsid w:val="003742EF"/>
    <w:rsid w:val="003747E8"/>
    <w:rsid w:val="003763A3"/>
    <w:rsid w:val="00377E0C"/>
    <w:rsid w:val="00380A1D"/>
    <w:rsid w:val="003859F7"/>
    <w:rsid w:val="00393136"/>
    <w:rsid w:val="00395DB8"/>
    <w:rsid w:val="003A0D33"/>
    <w:rsid w:val="003A36A6"/>
    <w:rsid w:val="003A431C"/>
    <w:rsid w:val="003A4BF5"/>
    <w:rsid w:val="003A6D25"/>
    <w:rsid w:val="003A7FAC"/>
    <w:rsid w:val="003B12D5"/>
    <w:rsid w:val="003B2ED1"/>
    <w:rsid w:val="003B5BA0"/>
    <w:rsid w:val="003C0FF5"/>
    <w:rsid w:val="003C23FC"/>
    <w:rsid w:val="003C26A3"/>
    <w:rsid w:val="003C4D62"/>
    <w:rsid w:val="003C5829"/>
    <w:rsid w:val="003C70F6"/>
    <w:rsid w:val="003C718D"/>
    <w:rsid w:val="003C7C64"/>
    <w:rsid w:val="003D295E"/>
    <w:rsid w:val="003D2E2E"/>
    <w:rsid w:val="003D4805"/>
    <w:rsid w:val="003D5BA9"/>
    <w:rsid w:val="003D6DE2"/>
    <w:rsid w:val="003E0E32"/>
    <w:rsid w:val="003E0ED1"/>
    <w:rsid w:val="003E122F"/>
    <w:rsid w:val="003E4A80"/>
    <w:rsid w:val="003E53B2"/>
    <w:rsid w:val="003E696B"/>
    <w:rsid w:val="003E76B3"/>
    <w:rsid w:val="003F1729"/>
    <w:rsid w:val="003F326B"/>
    <w:rsid w:val="003F5C4C"/>
    <w:rsid w:val="00400367"/>
    <w:rsid w:val="00402931"/>
    <w:rsid w:val="00402F80"/>
    <w:rsid w:val="0040384F"/>
    <w:rsid w:val="00403FBD"/>
    <w:rsid w:val="00405A76"/>
    <w:rsid w:val="0040650C"/>
    <w:rsid w:val="004078AB"/>
    <w:rsid w:val="00411C2D"/>
    <w:rsid w:val="004138CC"/>
    <w:rsid w:val="004142A1"/>
    <w:rsid w:val="00414460"/>
    <w:rsid w:val="004202CD"/>
    <w:rsid w:val="00421347"/>
    <w:rsid w:val="00421B1F"/>
    <w:rsid w:val="004223BE"/>
    <w:rsid w:val="00424B9A"/>
    <w:rsid w:val="0042623C"/>
    <w:rsid w:val="0043111C"/>
    <w:rsid w:val="00437319"/>
    <w:rsid w:val="004376E5"/>
    <w:rsid w:val="00437C06"/>
    <w:rsid w:val="00440092"/>
    <w:rsid w:val="00440789"/>
    <w:rsid w:val="00440871"/>
    <w:rsid w:val="00440B46"/>
    <w:rsid w:val="0044106B"/>
    <w:rsid w:val="004415FC"/>
    <w:rsid w:val="00443275"/>
    <w:rsid w:val="0044713C"/>
    <w:rsid w:val="00450F97"/>
    <w:rsid w:val="0045567F"/>
    <w:rsid w:val="00456A9D"/>
    <w:rsid w:val="004575A6"/>
    <w:rsid w:val="00461E5C"/>
    <w:rsid w:val="00462375"/>
    <w:rsid w:val="004648C2"/>
    <w:rsid w:val="004657C8"/>
    <w:rsid w:val="00467699"/>
    <w:rsid w:val="00470863"/>
    <w:rsid w:val="00473F99"/>
    <w:rsid w:val="00475311"/>
    <w:rsid w:val="004809E6"/>
    <w:rsid w:val="0048537B"/>
    <w:rsid w:val="0048776F"/>
    <w:rsid w:val="00491DFD"/>
    <w:rsid w:val="0049359F"/>
    <w:rsid w:val="00494BCE"/>
    <w:rsid w:val="00494F0C"/>
    <w:rsid w:val="004956CE"/>
    <w:rsid w:val="0049663C"/>
    <w:rsid w:val="004977C0"/>
    <w:rsid w:val="004A7099"/>
    <w:rsid w:val="004B01A5"/>
    <w:rsid w:val="004B05A0"/>
    <w:rsid w:val="004B0F9E"/>
    <w:rsid w:val="004B0FC9"/>
    <w:rsid w:val="004B2669"/>
    <w:rsid w:val="004B57A6"/>
    <w:rsid w:val="004B5877"/>
    <w:rsid w:val="004B62EC"/>
    <w:rsid w:val="004B6367"/>
    <w:rsid w:val="004C0384"/>
    <w:rsid w:val="004C595E"/>
    <w:rsid w:val="004C5CA0"/>
    <w:rsid w:val="004D0B69"/>
    <w:rsid w:val="004D0D26"/>
    <w:rsid w:val="004D3F42"/>
    <w:rsid w:val="004D53D0"/>
    <w:rsid w:val="004D583B"/>
    <w:rsid w:val="004D72C2"/>
    <w:rsid w:val="004D7A78"/>
    <w:rsid w:val="004E3558"/>
    <w:rsid w:val="004E4CB1"/>
    <w:rsid w:val="004E646E"/>
    <w:rsid w:val="004F10C6"/>
    <w:rsid w:val="004F11ED"/>
    <w:rsid w:val="004F2C60"/>
    <w:rsid w:val="004F57E1"/>
    <w:rsid w:val="004F640B"/>
    <w:rsid w:val="004F7310"/>
    <w:rsid w:val="00500EFA"/>
    <w:rsid w:val="0050305F"/>
    <w:rsid w:val="00503176"/>
    <w:rsid w:val="0050495A"/>
    <w:rsid w:val="00504E33"/>
    <w:rsid w:val="00505148"/>
    <w:rsid w:val="005118D3"/>
    <w:rsid w:val="005131D6"/>
    <w:rsid w:val="00513839"/>
    <w:rsid w:val="00514D19"/>
    <w:rsid w:val="00515A0F"/>
    <w:rsid w:val="00530DCF"/>
    <w:rsid w:val="00531846"/>
    <w:rsid w:val="00531D3E"/>
    <w:rsid w:val="00531F6D"/>
    <w:rsid w:val="00533D55"/>
    <w:rsid w:val="00533EDF"/>
    <w:rsid w:val="00535CAF"/>
    <w:rsid w:val="00536540"/>
    <w:rsid w:val="00536FC9"/>
    <w:rsid w:val="0053726F"/>
    <w:rsid w:val="005414CE"/>
    <w:rsid w:val="00544A02"/>
    <w:rsid w:val="00544D59"/>
    <w:rsid w:val="0054553A"/>
    <w:rsid w:val="005465F0"/>
    <w:rsid w:val="005468F6"/>
    <w:rsid w:val="00551C58"/>
    <w:rsid w:val="0055378D"/>
    <w:rsid w:val="00553A79"/>
    <w:rsid w:val="0055554E"/>
    <w:rsid w:val="005568F1"/>
    <w:rsid w:val="00557128"/>
    <w:rsid w:val="00560A61"/>
    <w:rsid w:val="005628D6"/>
    <w:rsid w:val="00565E51"/>
    <w:rsid w:val="00566277"/>
    <w:rsid w:val="0056643B"/>
    <w:rsid w:val="0057013F"/>
    <w:rsid w:val="0057080E"/>
    <w:rsid w:val="005717B0"/>
    <w:rsid w:val="00571EE1"/>
    <w:rsid w:val="005722F8"/>
    <w:rsid w:val="0057349D"/>
    <w:rsid w:val="00573E17"/>
    <w:rsid w:val="00574487"/>
    <w:rsid w:val="005756BC"/>
    <w:rsid w:val="00575767"/>
    <w:rsid w:val="00575C7A"/>
    <w:rsid w:val="00575CF2"/>
    <w:rsid w:val="00580EDA"/>
    <w:rsid w:val="00582FAA"/>
    <w:rsid w:val="00584BFE"/>
    <w:rsid w:val="00585C5C"/>
    <w:rsid w:val="00591E8C"/>
    <w:rsid w:val="00592ACE"/>
    <w:rsid w:val="005937AE"/>
    <w:rsid w:val="00596E93"/>
    <w:rsid w:val="005A0271"/>
    <w:rsid w:val="005A1014"/>
    <w:rsid w:val="005A1040"/>
    <w:rsid w:val="005A2723"/>
    <w:rsid w:val="005A2E8C"/>
    <w:rsid w:val="005A3A8A"/>
    <w:rsid w:val="005A43A8"/>
    <w:rsid w:val="005B0C1F"/>
    <w:rsid w:val="005B2ECB"/>
    <w:rsid w:val="005B4EC4"/>
    <w:rsid w:val="005B52FA"/>
    <w:rsid w:val="005B54DE"/>
    <w:rsid w:val="005B5B3C"/>
    <w:rsid w:val="005C049B"/>
    <w:rsid w:val="005C0F8F"/>
    <w:rsid w:val="005C100D"/>
    <w:rsid w:val="005C1909"/>
    <w:rsid w:val="005C2106"/>
    <w:rsid w:val="005C4B0D"/>
    <w:rsid w:val="005D02BC"/>
    <w:rsid w:val="005D0AA4"/>
    <w:rsid w:val="005D221B"/>
    <w:rsid w:val="005E0222"/>
    <w:rsid w:val="005E104A"/>
    <w:rsid w:val="005E23ED"/>
    <w:rsid w:val="005E2646"/>
    <w:rsid w:val="005E73CA"/>
    <w:rsid w:val="005F2C71"/>
    <w:rsid w:val="005F5897"/>
    <w:rsid w:val="005F7141"/>
    <w:rsid w:val="006048E5"/>
    <w:rsid w:val="00605B71"/>
    <w:rsid w:val="006071EC"/>
    <w:rsid w:val="00610E4D"/>
    <w:rsid w:val="00614334"/>
    <w:rsid w:val="00614D92"/>
    <w:rsid w:val="00615088"/>
    <w:rsid w:val="00615942"/>
    <w:rsid w:val="00617039"/>
    <w:rsid w:val="00617C34"/>
    <w:rsid w:val="00617DAC"/>
    <w:rsid w:val="00622AF8"/>
    <w:rsid w:val="00622FB3"/>
    <w:rsid w:val="00624ECF"/>
    <w:rsid w:val="00631591"/>
    <w:rsid w:val="00632F30"/>
    <w:rsid w:val="00633A54"/>
    <w:rsid w:val="00634318"/>
    <w:rsid w:val="006359BC"/>
    <w:rsid w:val="00635DDA"/>
    <w:rsid w:val="00637918"/>
    <w:rsid w:val="00640106"/>
    <w:rsid w:val="0064148F"/>
    <w:rsid w:val="00641866"/>
    <w:rsid w:val="00641E4C"/>
    <w:rsid w:val="0064260B"/>
    <w:rsid w:val="006426E5"/>
    <w:rsid w:val="00642734"/>
    <w:rsid w:val="0064352C"/>
    <w:rsid w:val="00643FA3"/>
    <w:rsid w:val="0064498F"/>
    <w:rsid w:val="0064658E"/>
    <w:rsid w:val="00650D9C"/>
    <w:rsid w:val="0065474E"/>
    <w:rsid w:val="006549B0"/>
    <w:rsid w:val="00660E73"/>
    <w:rsid w:val="0066165D"/>
    <w:rsid w:val="006632DE"/>
    <w:rsid w:val="00664CA0"/>
    <w:rsid w:val="00665AFE"/>
    <w:rsid w:val="006674D5"/>
    <w:rsid w:val="006707EB"/>
    <w:rsid w:val="006724BE"/>
    <w:rsid w:val="00680779"/>
    <w:rsid w:val="00680F1D"/>
    <w:rsid w:val="006817B9"/>
    <w:rsid w:val="00683411"/>
    <w:rsid w:val="00683A95"/>
    <w:rsid w:val="00685782"/>
    <w:rsid w:val="00686230"/>
    <w:rsid w:val="006918EC"/>
    <w:rsid w:val="00693059"/>
    <w:rsid w:val="00694659"/>
    <w:rsid w:val="006948AA"/>
    <w:rsid w:val="00694A47"/>
    <w:rsid w:val="00695119"/>
    <w:rsid w:val="006951F6"/>
    <w:rsid w:val="006A1C7D"/>
    <w:rsid w:val="006A237F"/>
    <w:rsid w:val="006B3CC8"/>
    <w:rsid w:val="006B59D4"/>
    <w:rsid w:val="006B5F62"/>
    <w:rsid w:val="006B5FBD"/>
    <w:rsid w:val="006B63FC"/>
    <w:rsid w:val="006C12BE"/>
    <w:rsid w:val="006C49DE"/>
    <w:rsid w:val="006C5625"/>
    <w:rsid w:val="006C7762"/>
    <w:rsid w:val="006D31F0"/>
    <w:rsid w:val="006D627D"/>
    <w:rsid w:val="006D70AC"/>
    <w:rsid w:val="006D7139"/>
    <w:rsid w:val="006E2B12"/>
    <w:rsid w:val="006E59B9"/>
    <w:rsid w:val="006E6E20"/>
    <w:rsid w:val="006E6F86"/>
    <w:rsid w:val="006F23BA"/>
    <w:rsid w:val="006F799A"/>
    <w:rsid w:val="006F7FE3"/>
    <w:rsid w:val="0070206A"/>
    <w:rsid w:val="00702320"/>
    <w:rsid w:val="007036EF"/>
    <w:rsid w:val="00705835"/>
    <w:rsid w:val="00706662"/>
    <w:rsid w:val="0071006E"/>
    <w:rsid w:val="00711054"/>
    <w:rsid w:val="00713B9D"/>
    <w:rsid w:val="00716018"/>
    <w:rsid w:val="007207A5"/>
    <w:rsid w:val="00722540"/>
    <w:rsid w:val="00727787"/>
    <w:rsid w:val="00730C43"/>
    <w:rsid w:val="00735135"/>
    <w:rsid w:val="0073770A"/>
    <w:rsid w:val="00740C24"/>
    <w:rsid w:val="0074154C"/>
    <w:rsid w:val="00743663"/>
    <w:rsid w:val="007439B4"/>
    <w:rsid w:val="00745007"/>
    <w:rsid w:val="00746645"/>
    <w:rsid w:val="0075026C"/>
    <w:rsid w:val="00750A7F"/>
    <w:rsid w:val="00751C48"/>
    <w:rsid w:val="00752C52"/>
    <w:rsid w:val="00753BF2"/>
    <w:rsid w:val="00755B93"/>
    <w:rsid w:val="007575AE"/>
    <w:rsid w:val="00757AC6"/>
    <w:rsid w:val="00757F40"/>
    <w:rsid w:val="00761A02"/>
    <w:rsid w:val="00763BA6"/>
    <w:rsid w:val="007641C8"/>
    <w:rsid w:val="00765111"/>
    <w:rsid w:val="00773D52"/>
    <w:rsid w:val="007759C1"/>
    <w:rsid w:val="00776A3A"/>
    <w:rsid w:val="00776CE7"/>
    <w:rsid w:val="0078167C"/>
    <w:rsid w:val="0078189D"/>
    <w:rsid w:val="00783FE4"/>
    <w:rsid w:val="007860C4"/>
    <w:rsid w:val="00786305"/>
    <w:rsid w:val="007914B7"/>
    <w:rsid w:val="00792EBA"/>
    <w:rsid w:val="0079398B"/>
    <w:rsid w:val="00795214"/>
    <w:rsid w:val="007960FB"/>
    <w:rsid w:val="007969A6"/>
    <w:rsid w:val="007A2B81"/>
    <w:rsid w:val="007A56FB"/>
    <w:rsid w:val="007A690A"/>
    <w:rsid w:val="007B2B52"/>
    <w:rsid w:val="007B34D0"/>
    <w:rsid w:val="007B4CE6"/>
    <w:rsid w:val="007B5905"/>
    <w:rsid w:val="007B77B8"/>
    <w:rsid w:val="007C62D0"/>
    <w:rsid w:val="007C63F1"/>
    <w:rsid w:val="007C7CA3"/>
    <w:rsid w:val="007D103D"/>
    <w:rsid w:val="007D12E4"/>
    <w:rsid w:val="007D69B1"/>
    <w:rsid w:val="007D7F77"/>
    <w:rsid w:val="007D7FED"/>
    <w:rsid w:val="007E0632"/>
    <w:rsid w:val="007E0AA0"/>
    <w:rsid w:val="007E18A0"/>
    <w:rsid w:val="007E35FD"/>
    <w:rsid w:val="007E38FB"/>
    <w:rsid w:val="007E48AB"/>
    <w:rsid w:val="007E764C"/>
    <w:rsid w:val="007E7CDC"/>
    <w:rsid w:val="007F0EE9"/>
    <w:rsid w:val="007F405A"/>
    <w:rsid w:val="007F4778"/>
    <w:rsid w:val="007F5DF0"/>
    <w:rsid w:val="007F6888"/>
    <w:rsid w:val="007F6989"/>
    <w:rsid w:val="008012F0"/>
    <w:rsid w:val="00802478"/>
    <w:rsid w:val="00810117"/>
    <w:rsid w:val="008128C9"/>
    <w:rsid w:val="00812F68"/>
    <w:rsid w:val="008151E4"/>
    <w:rsid w:val="00820617"/>
    <w:rsid w:val="00820BBC"/>
    <w:rsid w:val="00821BE0"/>
    <w:rsid w:val="00822A03"/>
    <w:rsid w:val="00824784"/>
    <w:rsid w:val="00826125"/>
    <w:rsid w:val="00826649"/>
    <w:rsid w:val="0082694C"/>
    <w:rsid w:val="0083238B"/>
    <w:rsid w:val="0083288A"/>
    <w:rsid w:val="008342D2"/>
    <w:rsid w:val="00835038"/>
    <w:rsid w:val="00835A0E"/>
    <w:rsid w:val="008369C2"/>
    <w:rsid w:val="008371AD"/>
    <w:rsid w:val="0083783F"/>
    <w:rsid w:val="00840065"/>
    <w:rsid w:val="00840A47"/>
    <w:rsid w:val="00842FEB"/>
    <w:rsid w:val="008467DA"/>
    <w:rsid w:val="008471D1"/>
    <w:rsid w:val="008526EE"/>
    <w:rsid w:val="00852989"/>
    <w:rsid w:val="00854423"/>
    <w:rsid w:val="0085718E"/>
    <w:rsid w:val="00857F0C"/>
    <w:rsid w:val="008623CB"/>
    <w:rsid w:val="00862D8E"/>
    <w:rsid w:val="00862FF0"/>
    <w:rsid w:val="008667D9"/>
    <w:rsid w:val="00866EDA"/>
    <w:rsid w:val="00867A64"/>
    <w:rsid w:val="00870571"/>
    <w:rsid w:val="008706CE"/>
    <w:rsid w:val="008711F8"/>
    <w:rsid w:val="00871786"/>
    <w:rsid w:val="00873FA2"/>
    <w:rsid w:val="008757FC"/>
    <w:rsid w:val="008761B1"/>
    <w:rsid w:val="008777C0"/>
    <w:rsid w:val="008805A1"/>
    <w:rsid w:val="00885743"/>
    <w:rsid w:val="008865BC"/>
    <w:rsid w:val="008A46DE"/>
    <w:rsid w:val="008A4AFC"/>
    <w:rsid w:val="008A724A"/>
    <w:rsid w:val="008B2607"/>
    <w:rsid w:val="008B40B4"/>
    <w:rsid w:val="008B4677"/>
    <w:rsid w:val="008B678F"/>
    <w:rsid w:val="008B75EF"/>
    <w:rsid w:val="008C0C7B"/>
    <w:rsid w:val="008C3ADD"/>
    <w:rsid w:val="008C5072"/>
    <w:rsid w:val="008C5270"/>
    <w:rsid w:val="008C72D0"/>
    <w:rsid w:val="008C76A9"/>
    <w:rsid w:val="008D2306"/>
    <w:rsid w:val="008D2DA2"/>
    <w:rsid w:val="008D7700"/>
    <w:rsid w:val="008E015E"/>
    <w:rsid w:val="008E0456"/>
    <w:rsid w:val="008E06F6"/>
    <w:rsid w:val="008E2470"/>
    <w:rsid w:val="008E4997"/>
    <w:rsid w:val="008E4E18"/>
    <w:rsid w:val="008F21FB"/>
    <w:rsid w:val="008F2686"/>
    <w:rsid w:val="008F6B5D"/>
    <w:rsid w:val="008F6BFB"/>
    <w:rsid w:val="009017C2"/>
    <w:rsid w:val="00901C48"/>
    <w:rsid w:val="00902EDC"/>
    <w:rsid w:val="00903C8A"/>
    <w:rsid w:val="009040A6"/>
    <w:rsid w:val="00905692"/>
    <w:rsid w:val="0090629B"/>
    <w:rsid w:val="00906A1F"/>
    <w:rsid w:val="00906D11"/>
    <w:rsid w:val="0091407F"/>
    <w:rsid w:val="009204BA"/>
    <w:rsid w:val="00924081"/>
    <w:rsid w:val="0092690D"/>
    <w:rsid w:val="009311DA"/>
    <w:rsid w:val="0093217D"/>
    <w:rsid w:val="00932653"/>
    <w:rsid w:val="009326EA"/>
    <w:rsid w:val="00932AEA"/>
    <w:rsid w:val="00935E3C"/>
    <w:rsid w:val="00937699"/>
    <w:rsid w:val="0094022B"/>
    <w:rsid w:val="00943F95"/>
    <w:rsid w:val="00945AA0"/>
    <w:rsid w:val="00951068"/>
    <w:rsid w:val="00952EEA"/>
    <w:rsid w:val="00953670"/>
    <w:rsid w:val="00953780"/>
    <w:rsid w:val="009542F0"/>
    <w:rsid w:val="009567BC"/>
    <w:rsid w:val="00956C8E"/>
    <w:rsid w:val="009600B5"/>
    <w:rsid w:val="00964EE4"/>
    <w:rsid w:val="00966BF3"/>
    <w:rsid w:val="0096763D"/>
    <w:rsid w:val="00971ACA"/>
    <w:rsid w:val="00974404"/>
    <w:rsid w:val="00974C91"/>
    <w:rsid w:val="00975164"/>
    <w:rsid w:val="009803CB"/>
    <w:rsid w:val="0098217A"/>
    <w:rsid w:val="009829B4"/>
    <w:rsid w:val="009834AD"/>
    <w:rsid w:val="00984DCC"/>
    <w:rsid w:val="0098532D"/>
    <w:rsid w:val="009860F8"/>
    <w:rsid w:val="009901F9"/>
    <w:rsid w:val="0099059F"/>
    <w:rsid w:val="00990C72"/>
    <w:rsid w:val="00990E87"/>
    <w:rsid w:val="00993847"/>
    <w:rsid w:val="00994192"/>
    <w:rsid w:val="0099602B"/>
    <w:rsid w:val="009A1549"/>
    <w:rsid w:val="009A43A4"/>
    <w:rsid w:val="009A479A"/>
    <w:rsid w:val="009A7B30"/>
    <w:rsid w:val="009A7B83"/>
    <w:rsid w:val="009B0633"/>
    <w:rsid w:val="009B246C"/>
    <w:rsid w:val="009B2625"/>
    <w:rsid w:val="009B4432"/>
    <w:rsid w:val="009B783D"/>
    <w:rsid w:val="009C053B"/>
    <w:rsid w:val="009C17A2"/>
    <w:rsid w:val="009C390A"/>
    <w:rsid w:val="009C3AAB"/>
    <w:rsid w:val="009C6195"/>
    <w:rsid w:val="009D093C"/>
    <w:rsid w:val="009D15FF"/>
    <w:rsid w:val="009D1E49"/>
    <w:rsid w:val="009D69BB"/>
    <w:rsid w:val="009E0130"/>
    <w:rsid w:val="009E1356"/>
    <w:rsid w:val="009E1B40"/>
    <w:rsid w:val="009E36A3"/>
    <w:rsid w:val="009E4650"/>
    <w:rsid w:val="009E5980"/>
    <w:rsid w:val="009E5CD7"/>
    <w:rsid w:val="009F23BA"/>
    <w:rsid w:val="009F4CE3"/>
    <w:rsid w:val="009F6A69"/>
    <w:rsid w:val="00A00E5E"/>
    <w:rsid w:val="00A0727E"/>
    <w:rsid w:val="00A07A85"/>
    <w:rsid w:val="00A1087A"/>
    <w:rsid w:val="00A11F3F"/>
    <w:rsid w:val="00A12B19"/>
    <w:rsid w:val="00A13F0E"/>
    <w:rsid w:val="00A140BF"/>
    <w:rsid w:val="00A16177"/>
    <w:rsid w:val="00A163F8"/>
    <w:rsid w:val="00A16FC5"/>
    <w:rsid w:val="00A209D1"/>
    <w:rsid w:val="00A223AE"/>
    <w:rsid w:val="00A22F47"/>
    <w:rsid w:val="00A30591"/>
    <w:rsid w:val="00A35AE0"/>
    <w:rsid w:val="00A35CAC"/>
    <w:rsid w:val="00A36113"/>
    <w:rsid w:val="00A4016A"/>
    <w:rsid w:val="00A424E5"/>
    <w:rsid w:val="00A42847"/>
    <w:rsid w:val="00A4490F"/>
    <w:rsid w:val="00A44F24"/>
    <w:rsid w:val="00A47B79"/>
    <w:rsid w:val="00A53D70"/>
    <w:rsid w:val="00A5688C"/>
    <w:rsid w:val="00A60069"/>
    <w:rsid w:val="00A6127B"/>
    <w:rsid w:val="00A626D3"/>
    <w:rsid w:val="00A636EC"/>
    <w:rsid w:val="00A67F12"/>
    <w:rsid w:val="00A70BCC"/>
    <w:rsid w:val="00A71D2C"/>
    <w:rsid w:val="00A77C27"/>
    <w:rsid w:val="00A80160"/>
    <w:rsid w:val="00A80A66"/>
    <w:rsid w:val="00A80EC1"/>
    <w:rsid w:val="00A8152A"/>
    <w:rsid w:val="00A83B0F"/>
    <w:rsid w:val="00A85937"/>
    <w:rsid w:val="00A8702A"/>
    <w:rsid w:val="00A91EE7"/>
    <w:rsid w:val="00A93929"/>
    <w:rsid w:val="00A963EF"/>
    <w:rsid w:val="00A966AD"/>
    <w:rsid w:val="00A97658"/>
    <w:rsid w:val="00AA28CA"/>
    <w:rsid w:val="00AA3C1A"/>
    <w:rsid w:val="00AA5165"/>
    <w:rsid w:val="00AA7117"/>
    <w:rsid w:val="00AA74AE"/>
    <w:rsid w:val="00AB1350"/>
    <w:rsid w:val="00AB1749"/>
    <w:rsid w:val="00AB21D4"/>
    <w:rsid w:val="00AB2756"/>
    <w:rsid w:val="00AB28E4"/>
    <w:rsid w:val="00AB415E"/>
    <w:rsid w:val="00AB475C"/>
    <w:rsid w:val="00AB4E07"/>
    <w:rsid w:val="00AB5B07"/>
    <w:rsid w:val="00AB6244"/>
    <w:rsid w:val="00AB6987"/>
    <w:rsid w:val="00AC0FAD"/>
    <w:rsid w:val="00AC1090"/>
    <w:rsid w:val="00AC28BD"/>
    <w:rsid w:val="00AC36D2"/>
    <w:rsid w:val="00AC4DBC"/>
    <w:rsid w:val="00AC5849"/>
    <w:rsid w:val="00AC73CD"/>
    <w:rsid w:val="00AC76C7"/>
    <w:rsid w:val="00AC7F9B"/>
    <w:rsid w:val="00AD174A"/>
    <w:rsid w:val="00AD50A1"/>
    <w:rsid w:val="00AD66E2"/>
    <w:rsid w:val="00AD69C6"/>
    <w:rsid w:val="00AE1DE1"/>
    <w:rsid w:val="00AE2738"/>
    <w:rsid w:val="00AE5FE2"/>
    <w:rsid w:val="00AE6063"/>
    <w:rsid w:val="00AE61D1"/>
    <w:rsid w:val="00AE6E8A"/>
    <w:rsid w:val="00AE7E4D"/>
    <w:rsid w:val="00AF2950"/>
    <w:rsid w:val="00AF614B"/>
    <w:rsid w:val="00B00CC6"/>
    <w:rsid w:val="00B10C7C"/>
    <w:rsid w:val="00B10CDA"/>
    <w:rsid w:val="00B10E43"/>
    <w:rsid w:val="00B1204E"/>
    <w:rsid w:val="00B15307"/>
    <w:rsid w:val="00B16821"/>
    <w:rsid w:val="00B23A84"/>
    <w:rsid w:val="00B26E51"/>
    <w:rsid w:val="00B30270"/>
    <w:rsid w:val="00B30A7C"/>
    <w:rsid w:val="00B31472"/>
    <w:rsid w:val="00B324EE"/>
    <w:rsid w:val="00B3315B"/>
    <w:rsid w:val="00B33A65"/>
    <w:rsid w:val="00B33E99"/>
    <w:rsid w:val="00B37FEE"/>
    <w:rsid w:val="00B4037B"/>
    <w:rsid w:val="00B44142"/>
    <w:rsid w:val="00B4551C"/>
    <w:rsid w:val="00B45E30"/>
    <w:rsid w:val="00B467E4"/>
    <w:rsid w:val="00B46D2E"/>
    <w:rsid w:val="00B47F88"/>
    <w:rsid w:val="00B517DD"/>
    <w:rsid w:val="00B54724"/>
    <w:rsid w:val="00B5649C"/>
    <w:rsid w:val="00B564A4"/>
    <w:rsid w:val="00B60163"/>
    <w:rsid w:val="00B60364"/>
    <w:rsid w:val="00B65C27"/>
    <w:rsid w:val="00B66590"/>
    <w:rsid w:val="00B671FC"/>
    <w:rsid w:val="00B740C5"/>
    <w:rsid w:val="00B76340"/>
    <w:rsid w:val="00B817BB"/>
    <w:rsid w:val="00B81997"/>
    <w:rsid w:val="00B84317"/>
    <w:rsid w:val="00B854D8"/>
    <w:rsid w:val="00B86079"/>
    <w:rsid w:val="00B86DB1"/>
    <w:rsid w:val="00B874C7"/>
    <w:rsid w:val="00B90CBF"/>
    <w:rsid w:val="00B93499"/>
    <w:rsid w:val="00B93E23"/>
    <w:rsid w:val="00B956EA"/>
    <w:rsid w:val="00B966AF"/>
    <w:rsid w:val="00BA02CC"/>
    <w:rsid w:val="00BA1010"/>
    <w:rsid w:val="00BA2832"/>
    <w:rsid w:val="00BA4498"/>
    <w:rsid w:val="00BA4826"/>
    <w:rsid w:val="00BA6D8F"/>
    <w:rsid w:val="00BA7B7E"/>
    <w:rsid w:val="00BB05B1"/>
    <w:rsid w:val="00BB42EF"/>
    <w:rsid w:val="00BB4BBA"/>
    <w:rsid w:val="00BB5363"/>
    <w:rsid w:val="00BC06E4"/>
    <w:rsid w:val="00BC08EE"/>
    <w:rsid w:val="00BC0A64"/>
    <w:rsid w:val="00BC158C"/>
    <w:rsid w:val="00BC633B"/>
    <w:rsid w:val="00BC68FC"/>
    <w:rsid w:val="00BC7A5E"/>
    <w:rsid w:val="00BD1697"/>
    <w:rsid w:val="00BD16D5"/>
    <w:rsid w:val="00BD2230"/>
    <w:rsid w:val="00BD245C"/>
    <w:rsid w:val="00BD305F"/>
    <w:rsid w:val="00BD31F1"/>
    <w:rsid w:val="00BD4BC2"/>
    <w:rsid w:val="00BD5B28"/>
    <w:rsid w:val="00BD60A6"/>
    <w:rsid w:val="00BD7225"/>
    <w:rsid w:val="00BE1F3E"/>
    <w:rsid w:val="00BE250E"/>
    <w:rsid w:val="00BE3E30"/>
    <w:rsid w:val="00BE6F15"/>
    <w:rsid w:val="00BE7144"/>
    <w:rsid w:val="00BF1605"/>
    <w:rsid w:val="00BF2519"/>
    <w:rsid w:val="00BF2FA4"/>
    <w:rsid w:val="00BF3385"/>
    <w:rsid w:val="00BF5B40"/>
    <w:rsid w:val="00BF7906"/>
    <w:rsid w:val="00C02800"/>
    <w:rsid w:val="00C03A3C"/>
    <w:rsid w:val="00C0412F"/>
    <w:rsid w:val="00C04B25"/>
    <w:rsid w:val="00C04BA8"/>
    <w:rsid w:val="00C051F0"/>
    <w:rsid w:val="00C17706"/>
    <w:rsid w:val="00C178C5"/>
    <w:rsid w:val="00C208D4"/>
    <w:rsid w:val="00C22CAC"/>
    <w:rsid w:val="00C26331"/>
    <w:rsid w:val="00C33371"/>
    <w:rsid w:val="00C33B6C"/>
    <w:rsid w:val="00C35216"/>
    <w:rsid w:val="00C36B9B"/>
    <w:rsid w:val="00C419B3"/>
    <w:rsid w:val="00C44019"/>
    <w:rsid w:val="00C4516C"/>
    <w:rsid w:val="00C45CFE"/>
    <w:rsid w:val="00C463B9"/>
    <w:rsid w:val="00C478CA"/>
    <w:rsid w:val="00C52E2C"/>
    <w:rsid w:val="00C534BD"/>
    <w:rsid w:val="00C536F5"/>
    <w:rsid w:val="00C538B7"/>
    <w:rsid w:val="00C55221"/>
    <w:rsid w:val="00C57A3A"/>
    <w:rsid w:val="00C60B80"/>
    <w:rsid w:val="00C61779"/>
    <w:rsid w:val="00C62A55"/>
    <w:rsid w:val="00C6337B"/>
    <w:rsid w:val="00C642CE"/>
    <w:rsid w:val="00C647A5"/>
    <w:rsid w:val="00C64811"/>
    <w:rsid w:val="00C67521"/>
    <w:rsid w:val="00C67CB8"/>
    <w:rsid w:val="00C67EE6"/>
    <w:rsid w:val="00C719DF"/>
    <w:rsid w:val="00C71B8F"/>
    <w:rsid w:val="00C71C07"/>
    <w:rsid w:val="00C72D29"/>
    <w:rsid w:val="00C7430F"/>
    <w:rsid w:val="00C743E3"/>
    <w:rsid w:val="00C74B24"/>
    <w:rsid w:val="00C76ADF"/>
    <w:rsid w:val="00C80A7E"/>
    <w:rsid w:val="00C81E29"/>
    <w:rsid w:val="00C8215C"/>
    <w:rsid w:val="00C83D99"/>
    <w:rsid w:val="00C84880"/>
    <w:rsid w:val="00C86162"/>
    <w:rsid w:val="00C902BD"/>
    <w:rsid w:val="00C90C72"/>
    <w:rsid w:val="00C9387E"/>
    <w:rsid w:val="00C93EF5"/>
    <w:rsid w:val="00C94EF3"/>
    <w:rsid w:val="00C953C8"/>
    <w:rsid w:val="00C97C5A"/>
    <w:rsid w:val="00C97FEA"/>
    <w:rsid w:val="00CA0700"/>
    <w:rsid w:val="00CA1E1A"/>
    <w:rsid w:val="00CA23D4"/>
    <w:rsid w:val="00CA2BDE"/>
    <w:rsid w:val="00CA2EF8"/>
    <w:rsid w:val="00CA3F57"/>
    <w:rsid w:val="00CA402B"/>
    <w:rsid w:val="00CA5A54"/>
    <w:rsid w:val="00CA6B07"/>
    <w:rsid w:val="00CB1178"/>
    <w:rsid w:val="00CB177F"/>
    <w:rsid w:val="00CB4718"/>
    <w:rsid w:val="00CB537D"/>
    <w:rsid w:val="00CB6629"/>
    <w:rsid w:val="00CB7715"/>
    <w:rsid w:val="00CC0AB8"/>
    <w:rsid w:val="00CC0C86"/>
    <w:rsid w:val="00CC3A94"/>
    <w:rsid w:val="00CC539E"/>
    <w:rsid w:val="00CC5A0E"/>
    <w:rsid w:val="00CC71C1"/>
    <w:rsid w:val="00CC7D3F"/>
    <w:rsid w:val="00CD0639"/>
    <w:rsid w:val="00CD09C1"/>
    <w:rsid w:val="00CD2552"/>
    <w:rsid w:val="00CD3BD8"/>
    <w:rsid w:val="00CD4BE8"/>
    <w:rsid w:val="00CD4C06"/>
    <w:rsid w:val="00CD7B2C"/>
    <w:rsid w:val="00CD7F11"/>
    <w:rsid w:val="00CE1652"/>
    <w:rsid w:val="00CE2219"/>
    <w:rsid w:val="00CE5014"/>
    <w:rsid w:val="00CF17C1"/>
    <w:rsid w:val="00CF607F"/>
    <w:rsid w:val="00CF6E15"/>
    <w:rsid w:val="00CF71E3"/>
    <w:rsid w:val="00CF7BB7"/>
    <w:rsid w:val="00D00139"/>
    <w:rsid w:val="00D001DA"/>
    <w:rsid w:val="00D032F0"/>
    <w:rsid w:val="00D03C84"/>
    <w:rsid w:val="00D045EC"/>
    <w:rsid w:val="00D10A56"/>
    <w:rsid w:val="00D128D4"/>
    <w:rsid w:val="00D12F74"/>
    <w:rsid w:val="00D15A13"/>
    <w:rsid w:val="00D16969"/>
    <w:rsid w:val="00D169C9"/>
    <w:rsid w:val="00D17979"/>
    <w:rsid w:val="00D21DB9"/>
    <w:rsid w:val="00D23B0D"/>
    <w:rsid w:val="00D25427"/>
    <w:rsid w:val="00D26860"/>
    <w:rsid w:val="00D2792C"/>
    <w:rsid w:val="00D27FEA"/>
    <w:rsid w:val="00D31B11"/>
    <w:rsid w:val="00D36187"/>
    <w:rsid w:val="00D36ECA"/>
    <w:rsid w:val="00D402A1"/>
    <w:rsid w:val="00D403AE"/>
    <w:rsid w:val="00D41215"/>
    <w:rsid w:val="00D43856"/>
    <w:rsid w:val="00D4550B"/>
    <w:rsid w:val="00D46597"/>
    <w:rsid w:val="00D46A30"/>
    <w:rsid w:val="00D5003A"/>
    <w:rsid w:val="00D51587"/>
    <w:rsid w:val="00D54A4C"/>
    <w:rsid w:val="00D55B24"/>
    <w:rsid w:val="00D5652D"/>
    <w:rsid w:val="00D60645"/>
    <w:rsid w:val="00D611D8"/>
    <w:rsid w:val="00D6299D"/>
    <w:rsid w:val="00D65056"/>
    <w:rsid w:val="00D6732F"/>
    <w:rsid w:val="00D67F2C"/>
    <w:rsid w:val="00D70928"/>
    <w:rsid w:val="00D7118A"/>
    <w:rsid w:val="00D7150A"/>
    <w:rsid w:val="00D71E0A"/>
    <w:rsid w:val="00D7202C"/>
    <w:rsid w:val="00D74FA7"/>
    <w:rsid w:val="00D75860"/>
    <w:rsid w:val="00D820B8"/>
    <w:rsid w:val="00D82614"/>
    <w:rsid w:val="00D82AE7"/>
    <w:rsid w:val="00D82B51"/>
    <w:rsid w:val="00D85BFD"/>
    <w:rsid w:val="00D86398"/>
    <w:rsid w:val="00D87D31"/>
    <w:rsid w:val="00D900B3"/>
    <w:rsid w:val="00D905A4"/>
    <w:rsid w:val="00D92EBF"/>
    <w:rsid w:val="00D9368C"/>
    <w:rsid w:val="00D97E87"/>
    <w:rsid w:val="00DA33C4"/>
    <w:rsid w:val="00DB117F"/>
    <w:rsid w:val="00DB1A85"/>
    <w:rsid w:val="00DB4905"/>
    <w:rsid w:val="00DC1ED8"/>
    <w:rsid w:val="00DC2F2D"/>
    <w:rsid w:val="00DC340B"/>
    <w:rsid w:val="00DC55E8"/>
    <w:rsid w:val="00DC5D00"/>
    <w:rsid w:val="00DC7DE2"/>
    <w:rsid w:val="00DC7FC3"/>
    <w:rsid w:val="00DD0315"/>
    <w:rsid w:val="00DD0F23"/>
    <w:rsid w:val="00DD1C0A"/>
    <w:rsid w:val="00DD38F6"/>
    <w:rsid w:val="00DD4F85"/>
    <w:rsid w:val="00DD4F8D"/>
    <w:rsid w:val="00DD50B0"/>
    <w:rsid w:val="00DD5938"/>
    <w:rsid w:val="00DD5958"/>
    <w:rsid w:val="00DD5CBD"/>
    <w:rsid w:val="00DD6179"/>
    <w:rsid w:val="00DD6410"/>
    <w:rsid w:val="00DD6ADB"/>
    <w:rsid w:val="00DE36DD"/>
    <w:rsid w:val="00DE3710"/>
    <w:rsid w:val="00DE4A4C"/>
    <w:rsid w:val="00DE569F"/>
    <w:rsid w:val="00DE6C0F"/>
    <w:rsid w:val="00DF0028"/>
    <w:rsid w:val="00DF0ED2"/>
    <w:rsid w:val="00DF1B83"/>
    <w:rsid w:val="00DF31F6"/>
    <w:rsid w:val="00DF332B"/>
    <w:rsid w:val="00DF44E5"/>
    <w:rsid w:val="00DF4C82"/>
    <w:rsid w:val="00DF4E46"/>
    <w:rsid w:val="00DF51B9"/>
    <w:rsid w:val="00DF7126"/>
    <w:rsid w:val="00DF7A05"/>
    <w:rsid w:val="00E01607"/>
    <w:rsid w:val="00E064FB"/>
    <w:rsid w:val="00E10AFC"/>
    <w:rsid w:val="00E165B6"/>
    <w:rsid w:val="00E2079D"/>
    <w:rsid w:val="00E20AC3"/>
    <w:rsid w:val="00E2235A"/>
    <w:rsid w:val="00E328C6"/>
    <w:rsid w:val="00E32F71"/>
    <w:rsid w:val="00E34914"/>
    <w:rsid w:val="00E36045"/>
    <w:rsid w:val="00E36095"/>
    <w:rsid w:val="00E37A9A"/>
    <w:rsid w:val="00E40657"/>
    <w:rsid w:val="00E41E46"/>
    <w:rsid w:val="00E44A5A"/>
    <w:rsid w:val="00E467B1"/>
    <w:rsid w:val="00E5063D"/>
    <w:rsid w:val="00E50F6B"/>
    <w:rsid w:val="00E56410"/>
    <w:rsid w:val="00E572E9"/>
    <w:rsid w:val="00E575D2"/>
    <w:rsid w:val="00E57D78"/>
    <w:rsid w:val="00E608A4"/>
    <w:rsid w:val="00E609BD"/>
    <w:rsid w:val="00E615B1"/>
    <w:rsid w:val="00E64152"/>
    <w:rsid w:val="00E65346"/>
    <w:rsid w:val="00E663A2"/>
    <w:rsid w:val="00E67B03"/>
    <w:rsid w:val="00E72CD2"/>
    <w:rsid w:val="00E735D2"/>
    <w:rsid w:val="00E745B6"/>
    <w:rsid w:val="00E77E06"/>
    <w:rsid w:val="00E81BCB"/>
    <w:rsid w:val="00E82C69"/>
    <w:rsid w:val="00E83C5D"/>
    <w:rsid w:val="00E84FAC"/>
    <w:rsid w:val="00E9065A"/>
    <w:rsid w:val="00E917D3"/>
    <w:rsid w:val="00E933F8"/>
    <w:rsid w:val="00E94285"/>
    <w:rsid w:val="00E9478B"/>
    <w:rsid w:val="00E96A39"/>
    <w:rsid w:val="00EA190B"/>
    <w:rsid w:val="00EA4AE9"/>
    <w:rsid w:val="00EA53D4"/>
    <w:rsid w:val="00EA6C06"/>
    <w:rsid w:val="00EB2A74"/>
    <w:rsid w:val="00EB37DE"/>
    <w:rsid w:val="00EB42AD"/>
    <w:rsid w:val="00EB6964"/>
    <w:rsid w:val="00EB6C80"/>
    <w:rsid w:val="00EB705C"/>
    <w:rsid w:val="00EB77F1"/>
    <w:rsid w:val="00EC0CA8"/>
    <w:rsid w:val="00EC4966"/>
    <w:rsid w:val="00EC5CDE"/>
    <w:rsid w:val="00EC6BE0"/>
    <w:rsid w:val="00EC7B8A"/>
    <w:rsid w:val="00ED1631"/>
    <w:rsid w:val="00ED1EE4"/>
    <w:rsid w:val="00ED4F7C"/>
    <w:rsid w:val="00ED621A"/>
    <w:rsid w:val="00ED7F08"/>
    <w:rsid w:val="00EE3EB2"/>
    <w:rsid w:val="00EE5AE2"/>
    <w:rsid w:val="00EE5B6D"/>
    <w:rsid w:val="00EF0AD8"/>
    <w:rsid w:val="00EF202B"/>
    <w:rsid w:val="00EF3DA8"/>
    <w:rsid w:val="00EF7AF5"/>
    <w:rsid w:val="00F0054C"/>
    <w:rsid w:val="00F00990"/>
    <w:rsid w:val="00F00D1A"/>
    <w:rsid w:val="00F00FA9"/>
    <w:rsid w:val="00F031C2"/>
    <w:rsid w:val="00F033FE"/>
    <w:rsid w:val="00F03641"/>
    <w:rsid w:val="00F03A58"/>
    <w:rsid w:val="00F053DD"/>
    <w:rsid w:val="00F06006"/>
    <w:rsid w:val="00F10665"/>
    <w:rsid w:val="00F10BF5"/>
    <w:rsid w:val="00F143DD"/>
    <w:rsid w:val="00F15641"/>
    <w:rsid w:val="00F21493"/>
    <w:rsid w:val="00F2192F"/>
    <w:rsid w:val="00F23C3D"/>
    <w:rsid w:val="00F30376"/>
    <w:rsid w:val="00F31124"/>
    <w:rsid w:val="00F31A3D"/>
    <w:rsid w:val="00F33CA8"/>
    <w:rsid w:val="00F33EE5"/>
    <w:rsid w:val="00F40376"/>
    <w:rsid w:val="00F418C8"/>
    <w:rsid w:val="00F509BB"/>
    <w:rsid w:val="00F5340C"/>
    <w:rsid w:val="00F53550"/>
    <w:rsid w:val="00F54BCC"/>
    <w:rsid w:val="00F55482"/>
    <w:rsid w:val="00F57E3D"/>
    <w:rsid w:val="00F63DA9"/>
    <w:rsid w:val="00F64F35"/>
    <w:rsid w:val="00F65BCA"/>
    <w:rsid w:val="00F66C40"/>
    <w:rsid w:val="00F67EA7"/>
    <w:rsid w:val="00F70ABD"/>
    <w:rsid w:val="00F740AA"/>
    <w:rsid w:val="00F80436"/>
    <w:rsid w:val="00F80C7F"/>
    <w:rsid w:val="00F825D8"/>
    <w:rsid w:val="00F82B04"/>
    <w:rsid w:val="00F95679"/>
    <w:rsid w:val="00FA0D3D"/>
    <w:rsid w:val="00FA5978"/>
    <w:rsid w:val="00FA6FD6"/>
    <w:rsid w:val="00FB0636"/>
    <w:rsid w:val="00FB2AB0"/>
    <w:rsid w:val="00FB3313"/>
    <w:rsid w:val="00FB42BB"/>
    <w:rsid w:val="00FB55D3"/>
    <w:rsid w:val="00FB6CB8"/>
    <w:rsid w:val="00FB7596"/>
    <w:rsid w:val="00FC2304"/>
    <w:rsid w:val="00FC3C6E"/>
    <w:rsid w:val="00FC58B1"/>
    <w:rsid w:val="00FC5C19"/>
    <w:rsid w:val="00FD020E"/>
    <w:rsid w:val="00FD0543"/>
    <w:rsid w:val="00FD20DB"/>
    <w:rsid w:val="00FD53F8"/>
    <w:rsid w:val="00FD71C5"/>
    <w:rsid w:val="00FE09AA"/>
    <w:rsid w:val="00FE336F"/>
    <w:rsid w:val="00FE35C6"/>
    <w:rsid w:val="00FE47CF"/>
    <w:rsid w:val="00FE4A6B"/>
    <w:rsid w:val="00FE55E3"/>
    <w:rsid w:val="00FE664A"/>
    <w:rsid w:val="00FE66C5"/>
    <w:rsid w:val="00FE6B51"/>
    <w:rsid w:val="00FF1748"/>
    <w:rsid w:val="00FF1FED"/>
    <w:rsid w:val="00FF4712"/>
    <w:rsid w:val="00FF7E01"/>
    <w:rsid w:val="68B6C78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121CAF"/>
  <w15:docId w15:val="{CBCA146B-F96F-4D38-8E8D-4FEF3423892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qFormat="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7F6989"/>
    <w:pPr>
      <w:spacing w:line="256" w:lineRule="auto"/>
    </w:pPr>
    <w:rPr>
      <w:rFonts w:ascii="Arial" w:hAnsi="Arial" w:cs="Times New Roman"/>
      <w:sz w:val="24"/>
    </w:rPr>
  </w:style>
  <w:style w:type="paragraph" w:styleId="Ttulo1">
    <w:name w:val="heading 1"/>
    <w:basedOn w:val="Normal"/>
    <w:next w:val="Normal"/>
    <w:link w:val="Ttulo1Car"/>
    <w:uiPriority w:val="9"/>
    <w:qFormat/>
    <w:rsid w:val="007F6989"/>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7F6989"/>
    <w:rPr>
      <w:rFonts w:asciiTheme="majorHAnsi" w:hAnsiTheme="majorHAnsi" w:eastAsiaTheme="majorEastAsia" w:cstheme="majorBidi"/>
      <w:color w:val="2F5496" w:themeColor="accent1" w:themeShade="BF"/>
      <w:sz w:val="32"/>
      <w:szCs w:val="32"/>
    </w:rPr>
  </w:style>
  <w:style w:type="paragraph" w:styleId="Piedepgina">
    <w:name w:val="footer"/>
    <w:basedOn w:val="Normal"/>
    <w:link w:val="PiedepginaCar"/>
    <w:uiPriority w:val="99"/>
    <w:rsid w:val="007F6989"/>
    <w:pPr>
      <w:tabs>
        <w:tab w:val="center" w:pos="4252"/>
        <w:tab w:val="right" w:pos="8504"/>
      </w:tabs>
      <w:spacing w:after="0" w:line="240" w:lineRule="auto"/>
    </w:pPr>
    <w:rPr>
      <w:rFonts w:ascii="Times New Roman" w:hAnsi="Times New Roman" w:eastAsia="Times New Roman"/>
      <w:szCs w:val="24"/>
      <w:lang w:val="x-none" w:eastAsia="es-ES"/>
    </w:rPr>
  </w:style>
  <w:style w:type="character" w:styleId="PiedepginaCar" w:customStyle="1">
    <w:name w:val="Pie de página Car"/>
    <w:basedOn w:val="Fuentedeprrafopredeter"/>
    <w:link w:val="Piedepgina"/>
    <w:uiPriority w:val="99"/>
    <w:rsid w:val="007F6989"/>
    <w:rPr>
      <w:rFonts w:ascii="Times New Roman" w:hAnsi="Times New Roman" w:eastAsia="Times New Roman" w:cs="Times New Roman"/>
      <w:sz w:val="24"/>
      <w:szCs w:val="24"/>
      <w:lang w:val="x-none" w:eastAsia="es-ES"/>
    </w:rPr>
  </w:style>
  <w:style w:type="character" w:styleId="Nmerodepgina">
    <w:name w:val="page number"/>
    <w:rsid w:val="007F6989"/>
  </w:style>
  <w:style w:type="paragraph" w:styleId="Ttulo">
    <w:name w:val="Title"/>
    <w:aliases w:val="Título1"/>
    <w:basedOn w:val="Normal"/>
    <w:next w:val="Normal"/>
    <w:link w:val="TtuloCar1"/>
    <w:uiPriority w:val="10"/>
    <w:qFormat/>
    <w:rsid w:val="007F6989"/>
    <w:pPr>
      <w:spacing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uiPriority w:val="10"/>
    <w:rsid w:val="007F6989"/>
    <w:rPr>
      <w:rFonts w:asciiTheme="majorHAnsi" w:hAnsiTheme="majorHAnsi" w:eastAsiaTheme="majorEastAsia" w:cstheme="majorBidi"/>
      <w:spacing w:val="-10"/>
      <w:kern w:val="28"/>
      <w:sz w:val="56"/>
      <w:szCs w:val="56"/>
    </w:rPr>
  </w:style>
  <w:style w:type="paragraph" w:styleId="Encabezado">
    <w:name w:val="header"/>
    <w:basedOn w:val="Normal"/>
    <w:link w:val="EncabezadoCar"/>
    <w:uiPriority w:val="99"/>
    <w:rsid w:val="007F6989"/>
    <w:pPr>
      <w:tabs>
        <w:tab w:val="center" w:pos="4252"/>
        <w:tab w:val="right" w:pos="8504"/>
      </w:tabs>
      <w:spacing w:after="0" w:line="240" w:lineRule="auto"/>
    </w:pPr>
    <w:rPr>
      <w:rFonts w:ascii="Times New Roman" w:hAnsi="Times New Roman" w:eastAsia="Times New Roman"/>
      <w:szCs w:val="24"/>
      <w:lang w:val="x-none" w:eastAsia="es-ES"/>
    </w:rPr>
  </w:style>
  <w:style w:type="character" w:styleId="EncabezadoCar" w:customStyle="1">
    <w:name w:val="Encabezado Car"/>
    <w:basedOn w:val="Fuentedeprrafopredeter"/>
    <w:link w:val="Encabezado"/>
    <w:uiPriority w:val="99"/>
    <w:rsid w:val="007F6989"/>
    <w:rPr>
      <w:rFonts w:ascii="Times New Roman" w:hAnsi="Times New Roman" w:eastAsia="Times New Roman" w:cs="Times New Roman"/>
      <w:sz w:val="24"/>
      <w:szCs w:val="24"/>
      <w:lang w:val="x-none" w:eastAsia="es-ES"/>
    </w:rPr>
  </w:style>
  <w:style w:type="paragraph" w:styleId="Textonotapie">
    <w:name w:val="footnote text"/>
    <w:aliases w:val="Footnote Text Char Char Char Char Char,Footnote Text Char Char Char Char,Footnote reference,FA Fu,texto de nota al pie,Footnote Text Char Char Char,Footnote Text Char,Footnote Text Char Char Char Char Char Char Char Char,fn,Footnote Tex,C"/>
    <w:basedOn w:val="Normal"/>
    <w:link w:val="TextonotapieCar"/>
    <w:uiPriority w:val="99"/>
    <w:qFormat/>
    <w:rsid w:val="007F6989"/>
    <w:pPr>
      <w:spacing w:after="0" w:line="240" w:lineRule="auto"/>
    </w:pPr>
    <w:rPr>
      <w:rFonts w:ascii="Times New Roman" w:hAnsi="Times New Roman" w:eastAsia="Times New Roman"/>
      <w:sz w:val="20"/>
      <w:szCs w:val="20"/>
      <w:lang w:val="x-none" w:eastAsia="es-ES"/>
    </w:rPr>
  </w:style>
  <w:style w:type="character" w:styleId="TextonotapieCar" w:customStyle="1">
    <w:name w:val="Texto nota pie Car"/>
    <w:aliases w:val="Footnote Text Char Char Char Char Char Car,Footnote Text Char Char Char Char Car,Footnote reference Car,FA Fu Car,texto de nota al pie Car,Footnote Text Char Char Char Car,Footnote Text Char Car,fn Car,Footnote Tex Car,C Car"/>
    <w:basedOn w:val="Fuentedeprrafopredeter"/>
    <w:link w:val="Textonotapie"/>
    <w:uiPriority w:val="99"/>
    <w:qFormat/>
    <w:rsid w:val="007F6989"/>
    <w:rPr>
      <w:rFonts w:ascii="Times New Roman" w:hAnsi="Times New Roman" w:eastAsia="Times New Roman" w:cs="Times New Roman"/>
      <w:sz w:val="20"/>
      <w:szCs w:val="20"/>
      <w:lang w:val="x-none" w:eastAsia="es-ES"/>
    </w:rPr>
  </w:style>
  <w:style w:type="character" w:styleId="Refdenotaalpie">
    <w:name w:val="footnote reference"/>
    <w:aliases w:val="Ref. de nota al pie 2,Texto de nota al pie,Footnotes refss,Appel note de bas de page,Pie de Página,FC,Texto de nota al p,Pie de Pàgina,F,Pie de P_gin,Pie de P_,Texto de nota al pi,Pie de P_g,Footnote number,referencia nota al pie,f,4"/>
    <w:link w:val="Refdenotaalpie2"/>
    <w:qFormat/>
    <w:rsid w:val="007F6989"/>
    <w:rPr>
      <w:vertAlign w:val="superscript"/>
    </w:rPr>
  </w:style>
  <w:style w:type="character" w:styleId="Referenciasutil">
    <w:name w:val="Subtle Reference"/>
    <w:uiPriority w:val="31"/>
    <w:qFormat/>
    <w:rsid w:val="007F6989"/>
    <w:rPr>
      <w:smallCaps/>
      <w:color w:val="C0504D"/>
      <w:u w:val="single"/>
    </w:rPr>
  </w:style>
  <w:style w:type="paragraph" w:styleId="Refdenotaalpie2" w:customStyle="1">
    <w:name w:val="Ref. de nota al pie2"/>
    <w:aliases w:val="Pie de pagina,Nota de pie"/>
    <w:basedOn w:val="Normal"/>
    <w:link w:val="Refdenotaalpie"/>
    <w:rsid w:val="007F6989"/>
    <w:pPr>
      <w:spacing w:line="240" w:lineRule="exact"/>
    </w:pPr>
    <w:rPr>
      <w:rFonts w:asciiTheme="minorHAnsi" w:hAnsiTheme="minorHAnsi" w:cstheme="minorBidi"/>
      <w:sz w:val="22"/>
      <w:vertAlign w:val="superscript"/>
    </w:rPr>
  </w:style>
  <w:style w:type="paragraph" w:styleId="Prrafodelista">
    <w:name w:val="List Paragraph"/>
    <w:basedOn w:val="Normal"/>
    <w:link w:val="PrrafodelistaCar"/>
    <w:uiPriority w:val="34"/>
    <w:qFormat/>
    <w:rsid w:val="007F6989"/>
    <w:pPr>
      <w:spacing w:after="200" w:line="276" w:lineRule="auto"/>
      <w:ind w:left="720"/>
    </w:pPr>
    <w:rPr>
      <w:rFonts w:ascii="Calibri" w:hAnsi="Calibri" w:eastAsia="Times New Roman"/>
      <w:sz w:val="22"/>
    </w:rPr>
  </w:style>
  <w:style w:type="character" w:styleId="TtuloCar1" w:customStyle="1">
    <w:name w:val="Título Car1"/>
    <w:aliases w:val="Título1 Car"/>
    <w:basedOn w:val="Fuentedeprrafopredeter"/>
    <w:link w:val="Ttulo"/>
    <w:uiPriority w:val="10"/>
    <w:rsid w:val="007F6989"/>
    <w:rPr>
      <w:rFonts w:asciiTheme="majorHAnsi" w:hAnsiTheme="majorHAnsi" w:eastAsiaTheme="majorEastAsia" w:cstheme="majorBidi"/>
      <w:spacing w:val="-10"/>
      <w:kern w:val="28"/>
      <w:sz w:val="56"/>
      <w:szCs w:val="56"/>
    </w:rPr>
  </w:style>
  <w:style w:type="paragraph" w:styleId="Textocomentario">
    <w:name w:val="annotation text"/>
    <w:basedOn w:val="Normal"/>
    <w:link w:val="TextocomentarioCar"/>
    <w:uiPriority w:val="99"/>
    <w:unhideWhenUsed/>
    <w:rsid w:val="007F6989"/>
    <w:pPr>
      <w:spacing w:line="240" w:lineRule="auto"/>
    </w:pPr>
    <w:rPr>
      <w:sz w:val="20"/>
      <w:szCs w:val="20"/>
    </w:rPr>
  </w:style>
  <w:style w:type="character" w:styleId="TextocomentarioCar" w:customStyle="1">
    <w:name w:val="Texto comentario Car"/>
    <w:basedOn w:val="Fuentedeprrafopredeter"/>
    <w:link w:val="Textocomentario"/>
    <w:uiPriority w:val="99"/>
    <w:rsid w:val="007F6989"/>
    <w:rPr>
      <w:rFonts w:ascii="Arial" w:hAnsi="Arial" w:cs="Times New Roman"/>
      <w:sz w:val="20"/>
      <w:szCs w:val="20"/>
    </w:rPr>
  </w:style>
  <w:style w:type="character" w:styleId="Textoennegrita">
    <w:name w:val="Strong"/>
    <w:uiPriority w:val="22"/>
    <w:qFormat/>
    <w:rsid w:val="007F6989"/>
    <w:rPr>
      <w:b/>
      <w:bCs/>
    </w:rPr>
  </w:style>
  <w:style w:type="paragraph" w:styleId="Sinespaciado">
    <w:name w:val="No Spacing"/>
    <w:uiPriority w:val="1"/>
    <w:qFormat/>
    <w:rsid w:val="006F7FE3"/>
    <w:pPr>
      <w:spacing w:after="0" w:line="240" w:lineRule="auto"/>
      <w:jc w:val="both"/>
    </w:pPr>
    <w:rPr>
      <w:rFonts w:ascii="Arial" w:hAnsi="Arial" w:eastAsia="Calibri" w:cs="Arial"/>
      <w:sz w:val="24"/>
      <w:szCs w:val="24"/>
      <w:lang w:val="es-ES"/>
    </w:rPr>
  </w:style>
  <w:style w:type="character" w:styleId="apple-converted-space" w:customStyle="1">
    <w:name w:val="apple-converted-space"/>
    <w:rsid w:val="003541FE"/>
  </w:style>
  <w:style w:type="character" w:styleId="Hipervnculo">
    <w:name w:val="Hyperlink"/>
    <w:basedOn w:val="Fuentedeprrafopredeter"/>
    <w:uiPriority w:val="99"/>
    <w:unhideWhenUsed/>
    <w:rsid w:val="002A2485"/>
    <w:rPr>
      <w:color w:val="0563C1" w:themeColor="hyperlink"/>
      <w:u w:val="single"/>
    </w:rPr>
  </w:style>
  <w:style w:type="character" w:styleId="nfasis">
    <w:name w:val="Emphasis"/>
    <w:basedOn w:val="Fuentedeprrafopredeter"/>
    <w:uiPriority w:val="20"/>
    <w:qFormat/>
    <w:rsid w:val="00F143DD"/>
    <w:rPr>
      <w:i/>
      <w:iCs/>
    </w:rPr>
  </w:style>
  <w:style w:type="paragraph" w:styleId="NormalWeb">
    <w:name w:val="Normal (Web)"/>
    <w:basedOn w:val="Normal"/>
    <w:link w:val="NormalWebCar"/>
    <w:uiPriority w:val="99"/>
    <w:unhideWhenUsed/>
    <w:rsid w:val="0006556C"/>
    <w:pPr>
      <w:spacing w:before="100" w:beforeAutospacing="1" w:after="100" w:afterAutospacing="1" w:line="240" w:lineRule="auto"/>
    </w:pPr>
    <w:rPr>
      <w:rFonts w:ascii="Times New Roman" w:hAnsi="Times New Roman" w:eastAsia="Times New Roman"/>
      <w:szCs w:val="24"/>
      <w:lang w:eastAsia="es-CO"/>
    </w:rPr>
  </w:style>
  <w:style w:type="table" w:styleId="Tablaconcuadrcula">
    <w:name w:val="Table Grid"/>
    <w:basedOn w:val="Tablanormal"/>
    <w:uiPriority w:val="39"/>
    <w:rsid w:val="00456A9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pa6" w:customStyle="1">
    <w:name w:val="pa6"/>
    <w:basedOn w:val="Normal"/>
    <w:rsid w:val="00BC08EE"/>
    <w:pPr>
      <w:spacing w:before="100" w:beforeAutospacing="1" w:after="100" w:afterAutospacing="1" w:line="240" w:lineRule="auto"/>
    </w:pPr>
    <w:rPr>
      <w:rFonts w:ascii="Times New Roman" w:hAnsi="Times New Roman" w:eastAsia="Times New Roman"/>
      <w:szCs w:val="24"/>
      <w:lang w:eastAsia="es-CO"/>
    </w:rPr>
  </w:style>
  <w:style w:type="paragraph" w:styleId="4GChar" w:customStyle="1">
    <w:name w:val="4_G Char"/>
    <w:aliases w:val="Appel note de bas de page Char,Appel note de bas de page Char Char Char Char Char Char Char Char Char Char Char Char Char Char Char Char Char Char Char,Appel note de bas de page Char Char Char Char"/>
    <w:basedOn w:val="Normal"/>
    <w:uiPriority w:val="99"/>
    <w:rsid w:val="00AE2738"/>
    <w:pPr>
      <w:spacing w:after="0" w:line="240" w:lineRule="auto"/>
      <w:jc w:val="both"/>
    </w:pPr>
    <w:rPr>
      <w:rFonts w:asciiTheme="minorHAnsi" w:hAnsiTheme="minorHAnsi" w:cstheme="minorBidi"/>
      <w:sz w:val="22"/>
      <w:vertAlign w:val="superscript"/>
    </w:rPr>
  </w:style>
  <w:style w:type="character" w:styleId="baj" w:customStyle="1">
    <w:name w:val="b_aj"/>
    <w:rsid w:val="00AE2738"/>
  </w:style>
  <w:style w:type="character" w:styleId="NormalWebCar" w:customStyle="1">
    <w:name w:val="Normal (Web) Car"/>
    <w:link w:val="NormalWeb"/>
    <w:uiPriority w:val="99"/>
    <w:locked/>
    <w:rsid w:val="009E1356"/>
    <w:rPr>
      <w:rFonts w:ascii="Times New Roman" w:hAnsi="Times New Roman" w:eastAsia="Times New Roman" w:cs="Times New Roman"/>
      <w:sz w:val="24"/>
      <w:szCs w:val="24"/>
      <w:lang w:eastAsia="es-CO"/>
    </w:rPr>
  </w:style>
  <w:style w:type="paragraph" w:styleId="Revisin">
    <w:name w:val="Revision"/>
    <w:hidden/>
    <w:uiPriority w:val="99"/>
    <w:semiHidden/>
    <w:rsid w:val="006048E5"/>
    <w:pPr>
      <w:spacing w:after="0" w:line="240" w:lineRule="auto"/>
    </w:pPr>
    <w:rPr>
      <w:rFonts w:ascii="Arial" w:hAnsi="Arial" w:cs="Times New Roman"/>
      <w:sz w:val="24"/>
    </w:rPr>
  </w:style>
  <w:style w:type="character" w:styleId="Refdecomentario">
    <w:name w:val="annotation reference"/>
    <w:basedOn w:val="Fuentedeprrafopredeter"/>
    <w:uiPriority w:val="99"/>
    <w:semiHidden/>
    <w:unhideWhenUsed/>
    <w:rsid w:val="001D4D4F"/>
    <w:rPr>
      <w:sz w:val="16"/>
      <w:szCs w:val="16"/>
    </w:rPr>
  </w:style>
  <w:style w:type="paragraph" w:styleId="Asuntodelcomentario">
    <w:name w:val="annotation subject"/>
    <w:basedOn w:val="Textocomentario"/>
    <w:next w:val="Textocomentario"/>
    <w:link w:val="AsuntodelcomentarioCar"/>
    <w:uiPriority w:val="99"/>
    <w:semiHidden/>
    <w:unhideWhenUsed/>
    <w:rsid w:val="001D4D4F"/>
    <w:rPr>
      <w:b/>
      <w:bCs/>
    </w:rPr>
  </w:style>
  <w:style w:type="character" w:styleId="AsuntodelcomentarioCar" w:customStyle="1">
    <w:name w:val="Asunto del comentario Car"/>
    <w:basedOn w:val="TextocomentarioCar"/>
    <w:link w:val="Asuntodelcomentario"/>
    <w:uiPriority w:val="99"/>
    <w:semiHidden/>
    <w:rsid w:val="001D4D4F"/>
    <w:rPr>
      <w:rFonts w:ascii="Arial" w:hAnsi="Arial" w:cs="Times New Roman"/>
      <w:b/>
      <w:bCs/>
      <w:sz w:val="20"/>
      <w:szCs w:val="20"/>
    </w:rPr>
  </w:style>
  <w:style w:type="character" w:styleId="TextonotapieCar1" w:customStyle="1">
    <w:name w:val="Texto nota pie Car1"/>
    <w:aliases w:val="Ref. de nota al pie1 Car,Ref. de nota al pie 2 Car,Texto de nota al pie Car,referencia nota al pie Car,Pie de Página Car,FC Car,Texto de nota al p Car,Pie de Pàgina Car,F Car,Pie de P_gin Car,Pie de P_ Car,Texto de nota al pi Car"/>
    <w:semiHidden/>
    <w:locked/>
    <w:rsid w:val="005717B0"/>
    <w:rPr>
      <w:rFonts w:ascii="Times New Roman" w:hAnsi="Times New Roman" w:eastAsia="Times New Roman" w:cs="Times New Roman"/>
      <w:sz w:val="20"/>
      <w:szCs w:val="20"/>
      <w:lang w:val="es-ES" w:eastAsia="es-ES"/>
    </w:rPr>
  </w:style>
  <w:style w:type="character" w:styleId="PrrafodelistaCar" w:customStyle="1">
    <w:name w:val="Párrafo de lista Car"/>
    <w:link w:val="Prrafodelista"/>
    <w:uiPriority w:val="34"/>
    <w:locked/>
    <w:rsid w:val="005717B0"/>
    <w:rPr>
      <w:rFonts w:ascii="Calibri" w:hAnsi="Calibri" w:eastAsia="Times New Roman" w:cs="Times New Roman"/>
    </w:rPr>
  </w:style>
  <w:style w:type="character" w:styleId="Textodelmarcadordeposicin">
    <w:name w:val="Placeholder Text"/>
    <w:basedOn w:val="Fuentedeprrafopredeter"/>
    <w:uiPriority w:val="99"/>
    <w:semiHidden/>
    <w:rsid w:val="00E663A2"/>
    <w:rPr>
      <w:color w:val="808080"/>
    </w:rPr>
  </w:style>
  <w:style w:type="paragraph" w:styleId="Textodeglobo">
    <w:name w:val="Balloon Text"/>
    <w:basedOn w:val="Normal"/>
    <w:link w:val="TextodegloboCar"/>
    <w:uiPriority w:val="99"/>
    <w:semiHidden/>
    <w:unhideWhenUsed/>
    <w:rsid w:val="008667D9"/>
    <w:pPr>
      <w:spacing w:after="0" w:line="240" w:lineRule="auto"/>
    </w:pPr>
    <w:rPr>
      <w:rFonts w:ascii="Segoe UI" w:hAnsi="Segoe UI" w:cs="Segoe UI"/>
      <w:sz w:val="18"/>
      <w:szCs w:val="18"/>
    </w:rPr>
  </w:style>
  <w:style w:type="character" w:styleId="TextodegloboCar" w:customStyle="1">
    <w:name w:val="Texto de globo Car"/>
    <w:basedOn w:val="Fuentedeprrafopredeter"/>
    <w:link w:val="Textodeglobo"/>
    <w:uiPriority w:val="99"/>
    <w:semiHidden/>
    <w:rsid w:val="008667D9"/>
    <w:rPr>
      <w:rFonts w:ascii="Segoe UI" w:hAnsi="Segoe UI" w:cs="Segoe UI"/>
      <w:sz w:val="18"/>
      <w:szCs w:val="18"/>
    </w:rPr>
  </w:style>
  <w:style w:type="character" w:styleId="Mencinsinresolver1" w:customStyle="1">
    <w:name w:val="Mención sin resolver1"/>
    <w:basedOn w:val="Fuentedeprrafopredeter"/>
    <w:uiPriority w:val="99"/>
    <w:semiHidden/>
    <w:unhideWhenUsed/>
    <w:rsid w:val="00694659"/>
    <w:rPr>
      <w:color w:val="605E5C"/>
      <w:shd w:val="clear" w:color="auto" w:fill="E1DFDD"/>
    </w:rPr>
  </w:style>
  <w:style w:type="paragraph" w:styleId="Textoindependiente">
    <w:name w:val="Body Text"/>
    <w:basedOn w:val="Normal"/>
    <w:link w:val="TextoindependienteCar"/>
    <w:uiPriority w:val="99"/>
    <w:rsid w:val="00DC340B"/>
    <w:pPr>
      <w:spacing w:after="0" w:line="480" w:lineRule="auto"/>
      <w:jc w:val="both"/>
    </w:pPr>
    <w:rPr>
      <w:rFonts w:ascii="Times New Roman" w:hAnsi="Times New Roman" w:eastAsia="Times New Roman" w:cs="Arial"/>
      <w:sz w:val="28"/>
      <w:szCs w:val="28"/>
      <w:lang w:val="es-ES_tradnl" w:eastAsia="es-ES"/>
    </w:rPr>
  </w:style>
  <w:style w:type="character" w:styleId="TextoindependienteCar" w:customStyle="1">
    <w:name w:val="Texto independiente Car"/>
    <w:basedOn w:val="Fuentedeprrafopredeter"/>
    <w:link w:val="Textoindependiente"/>
    <w:uiPriority w:val="99"/>
    <w:rsid w:val="00DC340B"/>
    <w:rPr>
      <w:rFonts w:ascii="Times New Roman" w:hAnsi="Times New Roman" w:eastAsia="Times New Roman" w:cs="Arial"/>
      <w:sz w:val="28"/>
      <w:szCs w:val="28"/>
      <w:lang w:val="es-ES_tradnl" w:eastAsia="es-ES"/>
    </w:rPr>
  </w:style>
  <w:style w:type="paragraph" w:styleId="Cuadrculamediana21" w:customStyle="1">
    <w:name w:val="Cuadrícula mediana 21"/>
    <w:uiPriority w:val="1"/>
    <w:qFormat/>
    <w:rsid w:val="00DC340B"/>
    <w:pPr>
      <w:spacing w:after="0" w:line="240" w:lineRule="auto"/>
    </w:pPr>
    <w:rPr>
      <w:rFonts w:ascii="Calibri" w:hAnsi="Calibri" w:eastAsia="Calibri" w:cs="Times New Roman"/>
      <w:lang w:val="es-ES"/>
    </w:rPr>
  </w:style>
  <w:style w:type="paragraph" w:styleId="centrado" w:customStyle="1">
    <w:name w:val="centrado"/>
    <w:basedOn w:val="Normal"/>
    <w:rsid w:val="0078189D"/>
    <w:pPr>
      <w:spacing w:before="100" w:beforeAutospacing="1" w:after="100" w:afterAutospacing="1" w:line="259" w:lineRule="auto"/>
    </w:pPr>
    <w:rPr>
      <w:rFonts w:ascii="Times New Roman" w:hAnsi="Times New Roman" w:eastAsia="Times New Roman"/>
      <w:szCs w:val="24"/>
      <w:lang w:eastAsia="es-CO"/>
    </w:rPr>
  </w:style>
  <w:style w:type="paragraph" w:styleId="Default" w:customStyle="1">
    <w:name w:val="Default"/>
    <w:rsid w:val="001C024B"/>
    <w:pPr>
      <w:autoSpaceDE w:val="0"/>
      <w:autoSpaceDN w:val="0"/>
      <w:adjustRightInd w:val="0"/>
      <w:spacing w:after="0" w:line="240" w:lineRule="auto"/>
    </w:pPr>
    <w:rPr>
      <w:rFonts w:ascii="Arial" w:hAnsi="Arial" w:cs="Arial"/>
      <w:color w:val="000000"/>
      <w:sz w:val="24"/>
      <w:szCs w:val="24"/>
    </w:rPr>
  </w:style>
  <w:style w:type="paragraph" w:styleId="Textoindependiente3">
    <w:name w:val="Body Text 3"/>
    <w:basedOn w:val="Normal"/>
    <w:link w:val="Textoindependiente3Car"/>
    <w:uiPriority w:val="99"/>
    <w:semiHidden/>
    <w:unhideWhenUsed/>
    <w:rsid w:val="0071006E"/>
    <w:pPr>
      <w:spacing w:after="120"/>
    </w:pPr>
    <w:rPr>
      <w:sz w:val="16"/>
      <w:szCs w:val="16"/>
    </w:rPr>
  </w:style>
  <w:style w:type="character" w:styleId="Textoindependiente3Car" w:customStyle="1">
    <w:name w:val="Texto independiente 3 Car"/>
    <w:basedOn w:val="Fuentedeprrafopredeter"/>
    <w:link w:val="Textoindependiente3"/>
    <w:uiPriority w:val="99"/>
    <w:semiHidden/>
    <w:rsid w:val="0071006E"/>
    <w:rPr>
      <w:rFonts w:ascii="Arial" w:hAnsi="Arial" w:cs="Times New Roman"/>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0465543">
      <w:bodyDiv w:val="1"/>
      <w:marLeft w:val="0"/>
      <w:marRight w:val="0"/>
      <w:marTop w:val="0"/>
      <w:marBottom w:val="0"/>
      <w:divBdr>
        <w:top w:val="none" w:sz="0" w:space="0" w:color="auto"/>
        <w:left w:val="none" w:sz="0" w:space="0" w:color="auto"/>
        <w:bottom w:val="none" w:sz="0" w:space="0" w:color="auto"/>
        <w:right w:val="none" w:sz="0" w:space="0" w:color="auto"/>
      </w:divBdr>
    </w:div>
    <w:div w:id="222717247">
      <w:bodyDiv w:val="1"/>
      <w:marLeft w:val="0"/>
      <w:marRight w:val="0"/>
      <w:marTop w:val="0"/>
      <w:marBottom w:val="0"/>
      <w:divBdr>
        <w:top w:val="none" w:sz="0" w:space="0" w:color="auto"/>
        <w:left w:val="none" w:sz="0" w:space="0" w:color="auto"/>
        <w:bottom w:val="none" w:sz="0" w:space="0" w:color="auto"/>
        <w:right w:val="none" w:sz="0" w:space="0" w:color="auto"/>
      </w:divBdr>
    </w:div>
    <w:div w:id="872619753">
      <w:bodyDiv w:val="1"/>
      <w:marLeft w:val="0"/>
      <w:marRight w:val="0"/>
      <w:marTop w:val="0"/>
      <w:marBottom w:val="0"/>
      <w:divBdr>
        <w:top w:val="none" w:sz="0" w:space="0" w:color="auto"/>
        <w:left w:val="none" w:sz="0" w:space="0" w:color="auto"/>
        <w:bottom w:val="none" w:sz="0" w:space="0" w:color="auto"/>
        <w:right w:val="none" w:sz="0" w:space="0" w:color="auto"/>
      </w:divBdr>
    </w:div>
    <w:div w:id="1018431044">
      <w:bodyDiv w:val="1"/>
      <w:marLeft w:val="0"/>
      <w:marRight w:val="0"/>
      <w:marTop w:val="0"/>
      <w:marBottom w:val="0"/>
      <w:divBdr>
        <w:top w:val="none" w:sz="0" w:space="0" w:color="auto"/>
        <w:left w:val="none" w:sz="0" w:space="0" w:color="auto"/>
        <w:bottom w:val="none" w:sz="0" w:space="0" w:color="auto"/>
        <w:right w:val="none" w:sz="0" w:space="0" w:color="auto"/>
      </w:divBdr>
    </w:div>
    <w:div w:id="1290286788">
      <w:bodyDiv w:val="1"/>
      <w:marLeft w:val="0"/>
      <w:marRight w:val="0"/>
      <w:marTop w:val="0"/>
      <w:marBottom w:val="0"/>
      <w:divBdr>
        <w:top w:val="none" w:sz="0" w:space="0" w:color="auto"/>
        <w:left w:val="none" w:sz="0" w:space="0" w:color="auto"/>
        <w:bottom w:val="none" w:sz="0" w:space="0" w:color="auto"/>
        <w:right w:val="none" w:sz="0" w:space="0" w:color="auto"/>
      </w:divBdr>
    </w:div>
    <w:div w:id="1340932652">
      <w:bodyDiv w:val="1"/>
      <w:marLeft w:val="0"/>
      <w:marRight w:val="0"/>
      <w:marTop w:val="0"/>
      <w:marBottom w:val="0"/>
      <w:divBdr>
        <w:top w:val="none" w:sz="0" w:space="0" w:color="auto"/>
        <w:left w:val="none" w:sz="0" w:space="0" w:color="auto"/>
        <w:bottom w:val="none" w:sz="0" w:space="0" w:color="auto"/>
        <w:right w:val="none" w:sz="0" w:space="0" w:color="auto"/>
      </w:divBdr>
    </w:div>
    <w:div w:id="1375424026">
      <w:bodyDiv w:val="1"/>
      <w:marLeft w:val="0"/>
      <w:marRight w:val="0"/>
      <w:marTop w:val="0"/>
      <w:marBottom w:val="0"/>
      <w:divBdr>
        <w:top w:val="none" w:sz="0" w:space="0" w:color="auto"/>
        <w:left w:val="none" w:sz="0" w:space="0" w:color="auto"/>
        <w:bottom w:val="none" w:sz="0" w:space="0" w:color="auto"/>
        <w:right w:val="none" w:sz="0" w:space="0" w:color="auto"/>
      </w:divBdr>
    </w:div>
    <w:div w:id="1704475986">
      <w:bodyDiv w:val="1"/>
      <w:marLeft w:val="0"/>
      <w:marRight w:val="0"/>
      <w:marTop w:val="0"/>
      <w:marBottom w:val="0"/>
      <w:divBdr>
        <w:top w:val="none" w:sz="0" w:space="0" w:color="auto"/>
        <w:left w:val="none" w:sz="0" w:space="0" w:color="auto"/>
        <w:bottom w:val="none" w:sz="0" w:space="0" w:color="auto"/>
        <w:right w:val="none" w:sz="0" w:space="0" w:color="auto"/>
      </w:divBdr>
    </w:div>
    <w:div w:id="1745449565">
      <w:bodyDiv w:val="1"/>
      <w:marLeft w:val="0"/>
      <w:marRight w:val="0"/>
      <w:marTop w:val="0"/>
      <w:marBottom w:val="0"/>
      <w:divBdr>
        <w:top w:val="none" w:sz="0" w:space="0" w:color="auto"/>
        <w:left w:val="none" w:sz="0" w:space="0" w:color="auto"/>
        <w:bottom w:val="none" w:sz="0" w:space="0" w:color="auto"/>
        <w:right w:val="none" w:sz="0" w:space="0" w:color="auto"/>
      </w:divBdr>
    </w:div>
    <w:div w:id="1971588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customXml" Target="../customXml/item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ustomXml" Target="../customXml/item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DB6E99F197AD64592D4C5471D80F0D8" ma:contentTypeVersion="20" ma:contentTypeDescription="Crear nuevo documento." ma:contentTypeScope="" ma:versionID="9b53e632aa26b86e519e440f7259eed8">
  <xsd:schema xmlns:xsd="http://www.w3.org/2001/XMLSchema" xmlns:xs="http://www.w3.org/2001/XMLSchema" xmlns:p="http://schemas.microsoft.com/office/2006/metadata/properties" xmlns:ns2="f5ff21b6-e9ef-49b6-bb70-296eeead8870" xmlns:ns3="1d22ca7f-6992-4f8a-9fd2-9f8d60e05b61" targetNamespace="http://schemas.microsoft.com/office/2006/metadata/properties" ma:root="true" ma:fieldsID="f7f0921476a6ae60b293105837d9d72a" ns2:_="" ns3:_="">
    <xsd:import namespace="f5ff21b6-e9ef-49b6-bb70-296eeead8870"/>
    <xsd:import namespace="1d22ca7f-6992-4f8a-9fd2-9f8d60e05b6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Fecha"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ff21b6-e9ef-49b6-bb70-296eeead88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0dc4aa63-3069-4f5e-8acb-986e2ea25e6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Fecha" ma:index="25" nillable="true" ma:displayName="Fecha" ma:format="DateOnly" ma:internalName="Fecha">
      <xsd:simpleType>
        <xsd:restriction base="dms:DateTime"/>
      </xsd:simpleType>
    </xsd:element>
    <xsd:element name="MediaServiceLocation" ma:index="26" nillable="true" ma:displayName="Location" ma:description="" ma:indexed="true" ma:internalName="MediaServiceLocation"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d22ca7f-6992-4f8a-9fd2-9f8d60e05b61"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138eff2c-4d5c-4e16-a16b-c7908ef43b04}" ma:internalName="TaxCatchAll" ma:showField="CatchAllData" ma:web="1d22ca7f-6992-4f8a-9fd2-9f8d60e05b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d22ca7f-6992-4f8a-9fd2-9f8d60e05b61" xsi:nil="true"/>
    <Fecha xmlns="f5ff21b6-e9ef-49b6-bb70-296eeead8870" xsi:nil="true"/>
    <lcf76f155ced4ddcb4097134ff3c332f xmlns="f5ff21b6-e9ef-49b6-bb70-296eeead887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E2B1E04-9ACE-49F2-AA5E-99F97487888B}">
  <ds:schemaRefs>
    <ds:schemaRef ds:uri="http://schemas.openxmlformats.org/officeDocument/2006/bibliography"/>
  </ds:schemaRefs>
</ds:datastoreItem>
</file>

<file path=customXml/itemProps2.xml><?xml version="1.0" encoding="utf-8"?>
<ds:datastoreItem xmlns:ds="http://schemas.openxmlformats.org/officeDocument/2006/customXml" ds:itemID="{3758A233-5435-47BD-BE36-9FE726AF5422}"/>
</file>

<file path=customXml/itemProps3.xml><?xml version="1.0" encoding="utf-8"?>
<ds:datastoreItem xmlns:ds="http://schemas.openxmlformats.org/officeDocument/2006/customXml" ds:itemID="{F500977C-BF72-4310-9CAA-FA8BC5BF9C44}"/>
</file>

<file path=customXml/itemProps4.xml><?xml version="1.0" encoding="utf-8"?>
<ds:datastoreItem xmlns:ds="http://schemas.openxmlformats.org/officeDocument/2006/customXml" ds:itemID="{4B68860B-EDC3-4310-9F97-DB632EB6862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CONSEJO SUPERIOR DE LA JUDICATURA</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Daniela Martinez Guerrero</dc:creator>
  <cp:lastModifiedBy>Carlos Andres Cuastumal Patino</cp:lastModifiedBy>
  <cp:revision>3</cp:revision>
  <cp:lastPrinted>2022-03-23T21:49:00Z</cp:lastPrinted>
  <dcterms:created xsi:type="dcterms:W3CDTF">2022-09-08T13:40:00Z</dcterms:created>
  <dcterms:modified xsi:type="dcterms:W3CDTF">2025-12-17T14:42:29Z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0x0101006DB6E99F197AD64592D4C5471D80F0D8</vt:lpwstr>
  </property>
  <property fmtid="{D5CDD505-2E9C-101B-9397-08002B2CF9AE}" pid="3" name="MediaServiceImageTags">
    <vt:lpwstr/>
  </property>
</Properties>
</file>