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
        <w:rPr>
          <w:b/>
        </w:rPr>
        <w:t>I. ANTECEDENTES</w:t>
      </w:r>
    </w:p>
    <w:p>
      <w:r>
        <w:t>I. ANTECEDENTES</w:t>
        <w:br/>
        <w:br/>
        <w:t>Mediante informe secretarial del 20 de septiembre de 2024, se dejó constancia de que, dentro del término de fijación del edicto, el Ministerio de Hacienda y Crédito Público presentó alegatos, mientras que las demás autoridades involucradas y los particulares interesados guardaron silencio. Posteriormente, el consejero ponente dictó auto para mejor proveer, fechado el 26 de septiembre de 2024, en el cual se vinculó a la Unidad Administrativa Especial de Pensiones de Cundinamarca y se requirió al departamento de Cundinamarca y a la E.S.E. Hospital San Antonio de Arbelaéz (Cundinamarca) para que presentaran sus alegatos o consideraciones, dada la relevancia de sus pronunciamientos para la Sala.</w:t>
        <w:br/>
        <w:br/>
        <w:t>Según informe secretarial del 7 de octubre de 2024, tanto la E.S.E. Hospital San Antonio de Arbelaéz (Cundinamarca) como la Unidad Administrativa Especial de Pensiones de Cundinamarca respondieron al auto proferido por el consejero ponente. En sus respectivos escritos, las entidades expusieron argumentos relacionados con la solicitud de reconocimiento y pago del bono pensional de la señora Yanet Margarita González Cifuentes, quien laboró en el Hospital San Antonio de Arbelaéz entre el 13 de febrero de 1984 y el 12 de febrero de 1985, periodo en el cual dicha institución hospitalaria operaba como una dependencia del extinto Servicio Seccional de Salud de Cundinamarca.</w:t>
        <w:br/>
        <w:br/>
        <w:t>La E.S.E. Hospital San Antonio de Arbelaéz manifestó que no le corresponde asumir el pago del bono pensional solicitado, en virtud de que, para la época de los servicios prestados por la señora González Cifuentes, el hospital no tenía personería jurídica propia y funcionaba como una dependencia del ente territorial. Por su parte, la Unidad Administrativa Especial de Pensiones de Cundinamarca sostuvo que el Fondo de Pensiones Públicas de Cundinamarca no es responsable de la emisión ni del pago del bono pensional, argumentando que los recursos para el pago de la deuda prestacional del personal retirado a 31 de diciembre de 1993 no fueron calculados ni aportados por las entidades concurrentes.</w:t>
        <w:br/>
        <w:br/>
        <w:t>Asimismo, el Ministerio de Hacienda y Crédito Público solicitó su desvinculación del asunto, al considerar que no tiene obligación frente al reconocimiento y pago del bono pensional solicitado, dado que no es ni ha sido una Caja de Previsión Social. En consecuencia, señaló que la responsabilidad recae sobre el empleador, esto es, la E.S.E. Hospital San Antonio de Arbelaéz, hasta tanto se surta el procedimiento previsto en el Decreto 586 de 2017 y se suscriba el contrato de concurrencia correspondiente.</w:t>
        <w:br/>
        <w:br/>
        <w:t>Finalmente, la Secretaría de Salud de Cundinamarca indicó que no tiene competencia para asumir el pago del bono pensional, toda vez que no fue empleadora de la señora González Cifuentes y que, conforme al artículo 242 de la Ley 100 de 1993, corresponde al Servicio Seccional de Salud de Cundinamarca, o a la entidad que lo haya sustituido, asumir las obligaciones pensionales causadas antes del 31 de diciembre de 1993.</w:t>
      </w:r>
    </w:p>
    <w:p/>
    <w:p>
      <w:r>
        <w:rPr>
          <w:b/>
        </w:rPr>
        <w:t>II. CONSIDERACIONES</w:t>
      </w:r>
    </w:p>
    <w:p>
      <w:r>
        <w:t xml:space="preserve">II. CONSIDERACIONES  </w:t>
        <w:br/>
        <w:br/>
        <w:t xml:space="preserve">La Sala procede a analizar el conflicto de competencia planteado, con fundamento en los antecedentes y argumentos expuestos por las partes, así como en las disposiciones normativas aplicables al caso.  </w:t>
        <w:br/>
        <w:br/>
        <w:t xml:space="preserve">En primer lugar, se observa que el conflicto versa sobre la determinación de la autoridad competente para resolver la solicitud de reconocimiento y pago del bono pensional generado por el tiempo laborado por la señora Yanet Margarita González Cifuentes en el Hospital San Antonio de Arbeláez (Cundinamarca), en el periodo comprendido entre el 13 de febrero de 1984 y el 12 de febrero de 1985.  </w:t>
        <w:br/>
        <w:br/>
        <w:t xml:space="preserve">De acuerdo con los alegatos presentados, la E.S.E. Hospital San Antonio de Arbeláez sostiene que no es responsable del pago del pasivo pensional de la señora González Cifuentes, toda vez que dicho pasivo corresponde a obligaciones generadas antes del 31 de diciembre de 1993, cuando el hospital no tenía personería jurídica propia y operaba como una dependencia del extinto Servicio Seccional de Salud de Cundinamarca. En consecuencia, afirma que la responsabilidad recae sobre el departamento de Cundinamarca, como entidad territorial que debía asumir las obligaciones pensionales causadas antes de la mencionada fecha.  </w:t>
        <w:br/>
        <w:br/>
        <w:t xml:space="preserve">Por su parte, la Unidad Administrativa Especial de Pensiones del departamento de Cundinamarca argumenta que no es competente para la emisión ni el pago del bono pensional solicitado, en razón de que el Fondo de Pensiones Públicas de Cundinamarca únicamente asume obligaciones pensionales de personal retirado al 31 de diciembre de 1993 que haya sido oportunamente reportado como beneficiario de dicho fondo. En este caso, señala que la señora González Cifuentes no figura en las bases de datos oficiales avaladas por el Ministerio de Hacienda y Crédito Público y el Ministerio de Salud, por lo que el fondo no puede asumir la obligación.  </w:t>
        <w:br/>
        <w:br/>
        <w:t xml:space="preserve">El Ministerio de Hacienda y Crédito Público, por su parte, solicita su desvinculación del conflicto, al considerar que no tiene competencia frente al reconocimiento y pago del bono pensional solicitado, dado que no es ni ha sido una Caja de Previsión Social y, por tanto, no le corresponde asumir dicha obligación.  </w:t>
        <w:br/>
        <w:br/>
        <w:t xml:space="preserve">En este contexto, la Sala recuerda que, conforme al artículo 39 de la Ley 1437 de 2011, modificado por el artículo 2 de la Ley 2080 de 2021, los conflictos de competencia administrativa deben resolverse atendiendo los supuestos fácticos y normativos que fundamentan la controversia, sin que ello implique un pronunciamiento sobre los derechos reclamados por las partes.  </w:t>
        <w:br/>
        <w:br/>
        <w:t xml:space="preserve">Así las cosas, el análisis de los documentos aportados y las disposiciones legales aplicables permite concluir que el conflicto se origina en la interpretación de las normas que regulan las obligaciones pensionales causadas antes del 31 de diciembre de 1993, particularmente el artículo 242 de la Ley 100 de 1993 y el Decreto 586 de 2017, que establecen que las entidades del sector salud deben seguir presupuestando y pagando las cesantías y pensiones a que están obligadas hasta tanto no se realice el corte de cuentas con el Fondo Prestacional.  </w:t>
        <w:br/>
        <w:br/>
        <w:t xml:space="preserve">En virtud de lo anterior, corresponde a esta Sala determinar cuál de las autoridades involucradas es competente para resolver de fondo la solicitud presentada por la señora Yanet Margarita González Cifuentes, teniendo en cuenta los argumentos expuestos y las disposiciones legales aplicables.  </w:t>
        <w:br/>
        <w:br/>
        <w:t>La Sala procederá a resolver el conflicto conforme a las reglas de competencia previstas en el ordenamiento jurídico.</w:t>
      </w:r>
    </w:p>
    <w:p/>
    <w:p>
      <w:r>
        <w:rPr>
          <w:b/>
        </w:rPr>
        <w:t>III. PROBLEMA JURÍDICO</w:t>
      </w:r>
    </w:p>
    <w:p>
      <w:r>
        <w:t>**III. PROBLEMA JURÍDICO**</w:t>
        <w:br/>
        <w:br/>
        <w:t>El problema jurídico que se plantea en el presente conflicto consiste en determinar cuál es la autoridad competente para resolver de fondo la solicitud de reconocimiento y pago del bono pensional generado por el tiempo laborado por la señora Nubia Adriana Rodríguez Roa en el Hospital San Antonio de Arbelaéz (Cundinamarca), hoy Empresa Social del Estado, durante el periodo comprendido entre el 27 de febrero de 1990 y el 26 de febrero de 1991.</w:t>
        <w:br/>
        <w:br/>
        <w:t>El conflicto surge debido a que la E.S.E. Hospital San Antonio de Arbelaéz (Cundinamarca) sostiene que no es responsable del pago del pasivo pensional de la mencionada trabajadora, argumentando que dicho pasivo corresponde a obligaciones generadas antes del 31 de diciembre de 1993, cuando el hospital no tenía personería jurídica propia y operaba como una dependencia del extinto Servicio Seccional de Salud de Cundinamarca. En consecuencia, afirma que la responsabilidad por los pasivos pensionales causados antes de dicha fecha recae sobre el ente territorial, esto es, el departamento de Cundinamarca.</w:t>
        <w:br/>
        <w:br/>
        <w:t>Por su parte, la Unidad Administrativa Especial de Pensiones de Cundinamarca (UAEPC) niega ser competente para la emisión y pago del bono pensional solicitado, aduciendo que el Fondo de Pensiones Públicas de Cundinamarca únicamente asume obligaciones pensionales de personal retirado al 31 de diciembre de 1993 que haya sido oportunamente reportado como beneficiario de dicho fondo. En este caso, señala que la señora Nubia Adriana Rodríguez Roa no figura en las bases de datos oficiales avaladas por el Ministerio de Hacienda y Crédito Público y el Ministerio de Salud, lo que impide al fondo asumir la obligación.</w:t>
        <w:br/>
        <w:br/>
        <w:t>En este contexto, corresponde a la Sala determinar cuál de las autoridades involucradas debe asumir la competencia para adelantar o continuar con la actuación administrativa relacionada con el reconocimiento y pago del bono pensional solicitado.</w:t>
      </w:r>
    </w:p>
    <w:p/>
    <w:p>
      <w:r>
        <w:rPr>
          <w:b/>
        </w:rPr>
        <w:t>IV. DECISIÓN</w:t>
      </w:r>
    </w:p>
    <w:p>
      <w:r>
        <w:t>IV. DECISIÓN</w:t>
        <w:br/>
        <w:br/>
        <w:t>En mérito de lo expuesto, la Sala de Consulta y Servicio Civil del Consejo de Estado,</w:t>
        <w:br/>
        <w:br/>
        <w:t>RESUELVE:</w:t>
        <w:br/>
        <w:br/>
        <w:t>PRIMERO: DECLARAR competente al departamento de Cundinamarca, a través de la Unidad Administrativa Especial de Pensiones de Cundinamarca, para resolver la solicitud presentada por la señora Nubia Adriana Rodríguez Roa, respecto del reconocimiento y pago del bono pensional correspondiente al tiempo laborado en el Hospital San Antonio de Arbelaéz (Cundinamarca), comprendido entre el 27 de febrero de 1990 y el 26 de febrero de 1991.</w:t>
        <w:br/>
        <w:br/>
        <w:t>SEGUNDO: REMITIR el expediente del conflicto a la Unidad Administrativa Especial de Pensiones del Departamento de Cundinamarca para los fines dispuestos en el numeral anterior.</w:t>
        <w:br/>
        <w:br/>
        <w:t>TERCERO: COMUNICAR esta decisión a la E.S.E. Hospital San Antonio de Arbelaéz, a la Gobernación del departamento de Cundinamarca, a la Secretaría de Salud del mismo departamento, a la Unidad Administrativa Especial de Pensiones del Departamento de Cundinamarca, al Ministerio de Hacienda y Crédito Público, y a la señora Nubia Adriana Rodríguez Roa.</w:t>
        <w:br/>
        <w:br/>
        <w:t>CUARTO: RECONOCER personería a los abogados que acreditaron representación en el expediente, en los términos y para los efectos de los poderes conferidos.</w:t>
        <w:br/>
        <w:br/>
        <w:t>QUINTO: ADVERTIR que contra la presente decisión no procede recurso alguno, tal como lo dispone expresamente el inciso 3° del artículo 39 del Código de Procedimiento Administrativo y de lo Contencioso Administrativo.</w:t>
        <w:br/>
        <w:br/>
        <w:t>SEXTO: ADVERTIR que los términos legales a que esté sujeta la actuación administrativa en referencia se reanudarán o empezarán a correr a partir del día siguiente a aquel en que se comunique la presente decisión.</w:t>
        <w:br/>
        <w:br/>
        <w:t>La anterior decisión se estudió y aprobó en la sesión de la fecha. Comuniquese y cúmplase.</w:t>
      </w:r>
    </w:p>
    <w:p/>
    <w:sectPr w:rsidRPr="0098532D" w:rsidR="00CA23D4" w:rsidSect="00212166">
      <w:headerReference w:type="default" r:id="rId8"/>
      <w:footerReference w:type="even" r:id="rId9"/>
      <w:footerReference w:type="default" r:id="rId10"/>
      <w:headerReference w:type="first" r:id="rId11"/>
      <w:pgSz w:w="12240" w:h="15840" w:orient="portrait" w:code="1"/>
      <w:pgMar w:top="1985" w:right="1474" w:bottom="1304" w:left="1474" w:header="0" w:footer="141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2F47" w:rsidP="007F6989" w:rsidRDefault="00A22F47" w14:paraId="48B694D7" w14:textId="77777777">
      <w:pPr>
        <w:spacing w:after="0" w:line="240" w:lineRule="auto"/>
      </w:pPr>
      <w:r>
        <w:separator/>
      </w:r>
    </w:p>
  </w:endnote>
  <w:endnote w:type="continuationSeparator" w:id="0">
    <w:p w:rsidR="00A22F47" w:rsidP="007F6989" w:rsidRDefault="00A22F47" w14:paraId="7AE528E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P="003541FE" w:rsidRDefault="001338AE" w14:paraId="4C21CB1A" w14:textId="77777777">
    <w:pPr>
      <w:pStyle w:val="Piedepgina"/>
      <w:framePr w:wrap="around" w:hAnchor="margin" w:vAnchor="text"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1338AE" w:rsidP="003541FE" w:rsidRDefault="001338AE" w14:paraId="4779955D" w14:textId="77777777">
    <w:pPr>
      <w:pStyle w:val="Piedepgina"/>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P="003541FE" w:rsidRDefault="001338AE" w14:paraId="78A2FF83" w14:textId="77777777">
    <w:pPr>
      <w:pStyle w:val="Piedepgina"/>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2F47" w:rsidP="007F6989" w:rsidRDefault="00A22F47" w14:paraId="6CABD002" w14:textId="77777777">
      <w:pPr>
        <w:spacing w:after="0" w:line="240" w:lineRule="auto"/>
      </w:pPr>
      <w:r>
        <w:separator/>
      </w:r>
    </w:p>
  </w:footnote>
  <w:footnote w:type="continuationSeparator" w:id="0">
    <w:p w:rsidR="00A22F47" w:rsidP="007F6989" w:rsidRDefault="00A22F47" w14:paraId="415F23D4" w14:textId="77777777">
      <w:pPr>
        <w:spacing w:after="0" w:line="240" w:lineRule="auto"/>
      </w:pPr>
      <w:r>
        <w:continuationSeparator/>
      </w:r>
    </w:p>
  </w:footnote>
  <w:footnote w:id="1">
    <w:p w:rsidRPr="00922C38" w:rsidR="0098532D" w:rsidP="0098532D" w:rsidRDefault="0098532D" w14:paraId="4530A817" w14:textId="77777777">
      <w:pPr>
        <w:pStyle w:val="Textonotapie"/>
        <w:jc w:val="both"/>
        <w:rPr>
          <w:rFonts w:ascii="Arial" w:hAnsi="Arial" w:cs="Arial"/>
          <w:lang w:val="es-ES"/>
        </w:rPr>
      </w:pPr>
      <w:r w:rsidRPr="00922C38">
        <w:rPr>
          <w:rStyle w:val="Refdenotaalpie"/>
          <w:rFonts w:ascii="Arial" w:hAnsi="Arial" w:cs="Arial"/>
        </w:rPr>
        <w:footnoteRef/>
      </w:r>
      <w:r w:rsidRPr="00922C38">
        <w:rPr>
          <w:rFonts w:ascii="Arial" w:hAnsi="Arial" w:cs="Arial"/>
        </w:rPr>
        <w:t xml:space="preserve"> Ley 2080 de 2021</w:t>
      </w:r>
      <w:r w:rsidRPr="00922C38">
        <w:rPr>
          <w:rFonts w:ascii="Arial" w:hAnsi="Arial" w:cs="Arial"/>
          <w:lang w:val="es-MX"/>
        </w:rPr>
        <w:t xml:space="preserve"> (enero 25), </w:t>
      </w:r>
      <w:r w:rsidRPr="00922C38">
        <w:rPr>
          <w:rFonts w:ascii="Arial" w:hAnsi="Arial" w:cs="Arial"/>
        </w:rPr>
        <w:t>«Por medio de la cual se reforma el Código de Procedimiento Administrativo y de lo Contencioso Administrativo -Ley 1437 de 2011- y se dictan otras disposiciones en materia de descongestión en los procesos que se tramitan ante la Jurisdicción».</w:t>
      </w:r>
    </w:p>
  </w:footnote>
  <w:footnote w:id="2">
    <w:p w:rsidRPr="00922C38" w:rsidR="0098532D" w:rsidP="0098532D" w:rsidRDefault="0098532D" w14:paraId="76AD613B"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7</w:t>
      </w:r>
      <w:r w:rsidRPr="00922C38">
        <w:rPr>
          <w:rFonts w:ascii="Arial" w:hAnsi="Arial" w:cs="Arial"/>
        </w:rPr>
        <w:t xml:space="preserve">, folio </w:t>
      </w:r>
      <w:r w:rsidRPr="00922C38">
        <w:rPr>
          <w:rFonts w:ascii="Arial" w:hAnsi="Arial" w:cs="Arial"/>
          <w:lang w:val="es-CO"/>
        </w:rPr>
        <w:t>32.</w:t>
      </w:r>
    </w:p>
  </w:footnote>
  <w:footnote w:id="3">
    <w:p w:rsidRPr="00922C38" w:rsidR="0098532D" w:rsidP="0098532D" w:rsidRDefault="0098532D" w14:paraId="7477FD55" w14:textId="77777777">
      <w:pPr>
        <w:pStyle w:val="Textonotapie"/>
        <w:jc w:val="both"/>
      </w:pPr>
      <w:r w:rsidRPr="00922C38">
        <w:rPr>
          <w:rStyle w:val="Refdenotaalpie"/>
          <w:rFonts w:ascii="Arial" w:hAnsi="Arial" w:cs="Arial"/>
        </w:rPr>
        <w:footnoteRef/>
      </w:r>
      <w:r w:rsidRPr="00922C38">
        <w:rPr>
          <w:rFonts w:ascii="Arial" w:hAnsi="Arial" w:cs="Arial"/>
        </w:rPr>
        <w:t xml:space="preserve"> El sistema de Certificación Electrónica de Tiempos Laborados</w:t>
      </w:r>
      <w:r w:rsidRPr="00922C38">
        <w:rPr>
          <w:rFonts w:ascii="Arial" w:hAnsi="Arial" w:cs="Arial"/>
          <w:lang w:val="es-CO"/>
        </w:rPr>
        <w:t xml:space="preserve"> - CETIL</w:t>
      </w:r>
      <w:r w:rsidRPr="00922C38">
        <w:rPr>
          <w:rFonts w:ascii="Arial" w:hAnsi="Arial" w:cs="Arial"/>
        </w:rPr>
        <w:t>, es el mecanismo a través del cual se expid</w:t>
      </w:r>
      <w:r w:rsidRPr="00922C38">
        <w:rPr>
          <w:rFonts w:ascii="Arial" w:hAnsi="Arial" w:cs="Arial"/>
          <w:lang w:val="es-CO"/>
        </w:rPr>
        <w:t>e</w:t>
      </w:r>
      <w:r w:rsidRPr="00922C38">
        <w:rPr>
          <w:rFonts w:ascii="Arial" w:hAnsi="Arial" w:cs="Arial"/>
        </w:rPr>
        <w:t xml:space="preserve"> todas las certificaciones de tiempos laborados y salarios por parte de las </w:t>
      </w:r>
      <w:r w:rsidRPr="00922C38">
        <w:rPr>
          <w:rFonts w:ascii="Arial" w:hAnsi="Arial" w:cs="Arial"/>
          <w:lang w:val="es-MX"/>
        </w:rPr>
        <w:t>instituciones</w:t>
      </w:r>
      <w:r w:rsidRPr="00922C38">
        <w:rPr>
          <w:rFonts w:ascii="Arial" w:hAnsi="Arial" w:cs="Arial"/>
        </w:rPr>
        <w:t xml:space="preserve"> públicas y privadas que ejerzan funciones públicas o cualquier otra entidad que deba expedir certificaciones de tiempos laborados o cotizados y salarios con el fin de ser aportadas </w:t>
      </w:r>
      <w:r w:rsidRPr="00922C38">
        <w:rPr>
          <w:rFonts w:ascii="Arial" w:hAnsi="Arial" w:cs="Arial"/>
          <w:lang w:val="es-MX"/>
        </w:rPr>
        <w:t>para reconocimiento de</w:t>
      </w:r>
      <w:r w:rsidRPr="00922C38">
        <w:rPr>
          <w:rFonts w:ascii="Arial" w:hAnsi="Arial" w:cs="Arial"/>
        </w:rPr>
        <w:t xml:space="preserve"> prestaciones pensionales a través del diligenciamiento de un formulario único electrónico.</w:t>
      </w:r>
    </w:p>
  </w:footnote>
  <w:footnote w:id="4">
    <w:p w:rsidRPr="00922C38" w:rsidR="0098532D" w:rsidP="0098532D" w:rsidRDefault="0098532D" w14:paraId="3A3E8B1C" w14:textId="77777777">
      <w:pPr>
        <w:pStyle w:val="Textonotapie"/>
        <w:jc w:val="both"/>
        <w:rPr>
          <w:rFonts w:ascii="Arial" w:hAnsi="Arial" w:cs="Arial"/>
        </w:rPr>
      </w:pPr>
      <w:r w:rsidRPr="00922C38">
        <w:rPr>
          <w:rStyle w:val="Refdenotaalpie"/>
        </w:rPr>
        <w:footnoteRef/>
      </w:r>
      <w:r w:rsidRPr="00922C38">
        <w:t xml:space="preserve"> </w:t>
      </w:r>
      <w:r w:rsidRPr="00922C38">
        <w:rPr>
          <w:rFonts w:ascii="Arial" w:hAnsi="Arial" w:cs="Arial"/>
        </w:rPr>
        <w:t xml:space="preserve">Según </w:t>
      </w:r>
      <w:r w:rsidRPr="00922C38">
        <w:rPr>
          <w:rFonts w:ascii="Arial" w:hAnsi="Arial" w:cs="Arial"/>
          <w:lang w:val="es-CO"/>
        </w:rPr>
        <w:t>certificación electrónica de tiempos laborados CETIL</w:t>
      </w:r>
      <w:r w:rsidRPr="00922C38">
        <w:rPr>
          <w:rFonts w:ascii="Arial" w:hAnsi="Arial" w:cs="Arial"/>
        </w:rPr>
        <w:t xml:space="preserve"> </w:t>
      </w:r>
      <w:r w:rsidRPr="00922C38">
        <w:rPr>
          <w:rFonts w:ascii="Arial" w:hAnsi="Arial" w:cs="Arial"/>
          <w:lang w:val="es-CO"/>
        </w:rPr>
        <w:t xml:space="preserve">del 14 de abril de 2020 </w:t>
      </w:r>
      <w:r w:rsidRPr="00922C38">
        <w:rPr>
          <w:rFonts w:ascii="Arial" w:hAnsi="Arial" w:cs="Arial"/>
        </w:rPr>
        <w:t>(</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4</w:t>
      </w:r>
      <w:r w:rsidRPr="00922C38">
        <w:rPr>
          <w:rFonts w:ascii="Arial" w:hAnsi="Arial" w:cs="Arial"/>
        </w:rPr>
        <w:t>, folio</w:t>
      </w:r>
      <w:r w:rsidRPr="00922C38">
        <w:rPr>
          <w:rFonts w:ascii="Arial" w:hAnsi="Arial" w:cs="Arial"/>
          <w:lang w:val="es-CO"/>
        </w:rPr>
        <w:t>s 1 al 20</w:t>
      </w:r>
      <w:r w:rsidRPr="00922C38">
        <w:rPr>
          <w:rFonts w:ascii="Arial" w:hAnsi="Arial" w:cs="Arial"/>
        </w:rPr>
        <w:t>).</w:t>
      </w:r>
    </w:p>
  </w:footnote>
  <w:footnote w:id="5">
    <w:p w:rsidRPr="00922C38" w:rsidR="0098532D" w:rsidP="0098532D" w:rsidRDefault="0098532D" w14:paraId="0C6B73F0" w14:textId="77777777">
      <w:pPr>
        <w:pStyle w:val="Textonotapie"/>
        <w:jc w:val="both"/>
      </w:pPr>
      <w:r w:rsidRPr="00922C38">
        <w:rPr>
          <w:rStyle w:val="Refdenotaalpie"/>
        </w:rPr>
        <w:footnoteRef/>
      </w:r>
      <w:r w:rsidRPr="00922C38">
        <w:t xml:space="preserve"> </w:t>
      </w:r>
      <w:r w:rsidRPr="00922C38">
        <w:rPr>
          <w:rFonts w:ascii="Arial" w:hAnsi="Arial" w:cs="Arial"/>
        </w:rPr>
        <w:t xml:space="preserve">Según </w:t>
      </w:r>
      <w:r w:rsidRPr="00922C38">
        <w:rPr>
          <w:rFonts w:ascii="Arial" w:hAnsi="Arial" w:cs="Arial"/>
          <w:lang w:val="es-CO"/>
        </w:rPr>
        <w:t>certificación electrónica de tiempos laborados emitida por Colpensiones</w:t>
      </w:r>
      <w:r w:rsidRPr="00922C38">
        <w:rPr>
          <w:rFonts w:ascii="Arial" w:hAnsi="Arial" w:cs="Arial"/>
        </w:rPr>
        <w:t xml:space="preserve"> </w:t>
      </w:r>
      <w:r w:rsidRPr="00922C38">
        <w:rPr>
          <w:rFonts w:ascii="Arial" w:hAnsi="Arial" w:cs="Arial"/>
          <w:lang w:val="es-CO"/>
        </w:rPr>
        <w:t xml:space="preserve">del 26 de octubre de 2020 </w:t>
      </w:r>
      <w:r w:rsidRPr="00922C38">
        <w:rPr>
          <w:rFonts w:ascii="Arial" w:hAnsi="Arial" w:cs="Arial"/>
        </w:rPr>
        <w:t>(</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6</w:t>
      </w:r>
      <w:r w:rsidRPr="00922C38">
        <w:rPr>
          <w:rFonts w:ascii="Arial" w:hAnsi="Arial" w:cs="Arial"/>
        </w:rPr>
        <w:t>, folio</w:t>
      </w:r>
      <w:r w:rsidRPr="00922C38">
        <w:rPr>
          <w:rFonts w:ascii="Arial" w:hAnsi="Arial" w:cs="Arial"/>
          <w:lang w:val="es-CO"/>
        </w:rPr>
        <w:t>s 7 y 8</w:t>
      </w:r>
      <w:r w:rsidRPr="00922C38">
        <w:rPr>
          <w:rFonts w:ascii="Arial" w:hAnsi="Arial" w:cs="Arial"/>
        </w:rPr>
        <w:t>).</w:t>
      </w:r>
    </w:p>
  </w:footnote>
  <w:footnote w:id="6">
    <w:p w:rsidRPr="00922C38" w:rsidR="0098532D" w:rsidP="0098532D" w:rsidRDefault="0098532D" w14:paraId="114B6B99" w14:textId="77777777">
      <w:pPr>
        <w:pStyle w:val="Textonotapie"/>
        <w:jc w:val="both"/>
        <w:rPr>
          <w:lang w:val="es-CO"/>
        </w:rPr>
      </w:pPr>
      <w:r w:rsidRPr="00922C38">
        <w:rPr>
          <w:rStyle w:val="Refdenotaalpie"/>
          <w:rFonts w:ascii="Arial" w:hAnsi="Arial" w:cs="Arial"/>
        </w:rPr>
        <w:footnoteRef/>
      </w:r>
      <w:r w:rsidRPr="00922C38">
        <w:rPr>
          <w:rFonts w:ascii="Arial" w:hAnsi="Arial" w:cs="Arial"/>
        </w:rPr>
        <w:t xml:space="preserve"> Archivo digital SAMAI, documento 6, folio</w:t>
      </w:r>
      <w:r w:rsidRPr="00922C38">
        <w:rPr>
          <w:rFonts w:ascii="Arial" w:hAnsi="Arial" w:cs="Arial"/>
          <w:lang w:val="es-CO"/>
        </w:rPr>
        <w:t>s 13 al 16</w:t>
      </w:r>
      <w:r w:rsidRPr="00922C38">
        <w:rPr>
          <w:rFonts w:cs="Arial"/>
          <w:lang w:val="es-CO"/>
        </w:rPr>
        <w:t xml:space="preserve"> </w:t>
      </w:r>
    </w:p>
  </w:footnote>
  <w:footnote w:id="7">
    <w:p w:rsidRPr="00922C38" w:rsidR="0098532D" w:rsidP="0098532D" w:rsidRDefault="0098532D" w14:paraId="156B82E8"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Archivo digital SAMAI documento1.</w:t>
      </w:r>
    </w:p>
  </w:footnote>
  <w:footnote w:id="8">
    <w:p w:rsidRPr="00922C38" w:rsidR="0098532D" w:rsidP="0098532D" w:rsidRDefault="0098532D" w14:paraId="5889CC35" w14:textId="77777777">
      <w:pPr>
        <w:pStyle w:val="Textonotapie"/>
        <w:jc w:val="both"/>
        <w:rPr>
          <w:rFonts w:ascii="Arial" w:hAnsi="Arial" w:cs="Arial"/>
          <w:lang w:val="es-ES"/>
        </w:rPr>
      </w:pPr>
      <w:r w:rsidRPr="00922C38">
        <w:rPr>
          <w:rStyle w:val="Refdenotaalpie"/>
          <w:rFonts w:ascii="Arial" w:hAnsi="Arial" w:cs="Arial"/>
        </w:rPr>
        <w:footnoteRef/>
      </w:r>
      <w:r w:rsidRPr="00922C38">
        <w:rPr>
          <w:rFonts w:ascii="Arial" w:hAnsi="Arial" w:cs="Arial"/>
        </w:rPr>
        <w:t xml:space="preserve"> Archivo digital SAMAI, documento 11.</w:t>
      </w:r>
    </w:p>
  </w:footnote>
  <w:footnote w:id="9">
    <w:p w:rsidRPr="00922C38" w:rsidR="0098532D" w:rsidP="0098532D" w:rsidRDefault="0098532D" w14:paraId="396BE37F"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A</w:t>
      </w:r>
      <w:r w:rsidRPr="00922C38">
        <w:rPr>
          <w:rFonts w:ascii="Arial" w:hAnsi="Arial" w:cs="Arial"/>
        </w:rPr>
        <w:t xml:space="preserve">rchivo digital SAMAI, documento </w:t>
      </w:r>
      <w:r w:rsidRPr="00922C38">
        <w:rPr>
          <w:rFonts w:ascii="Arial" w:hAnsi="Arial" w:cs="Arial"/>
          <w:lang w:val="es-CO"/>
        </w:rPr>
        <w:t>7.</w:t>
      </w:r>
    </w:p>
  </w:footnote>
  <w:footnote w:id="10">
    <w:p w:rsidRPr="00922C38" w:rsidR="0098532D" w:rsidP="0098532D" w:rsidRDefault="0098532D" w14:paraId="7B035B98"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lang w:val="es-CO"/>
        </w:rPr>
        <w:t>A</w:t>
      </w:r>
      <w:r w:rsidRPr="00922C38">
        <w:rPr>
          <w:rFonts w:ascii="Arial" w:hAnsi="Arial" w:cs="Arial"/>
        </w:rPr>
        <w:t xml:space="preserve">rchivo digital SAMAI, documento </w:t>
      </w:r>
      <w:r w:rsidRPr="00922C38">
        <w:rPr>
          <w:rFonts w:ascii="Arial" w:hAnsi="Arial" w:cs="Arial"/>
          <w:lang w:val="es-CO"/>
        </w:rPr>
        <w:t>1</w:t>
      </w:r>
      <w:r w:rsidRPr="00922C38">
        <w:rPr>
          <w:rFonts w:ascii="Arial" w:hAnsi="Arial" w:cs="Arial"/>
        </w:rPr>
        <w:t>4</w:t>
      </w:r>
      <w:r w:rsidRPr="00922C38">
        <w:rPr>
          <w:rFonts w:ascii="Arial" w:hAnsi="Arial" w:cs="Arial"/>
          <w:lang w:val="es-CO"/>
        </w:rPr>
        <w:t>.</w:t>
      </w:r>
    </w:p>
  </w:footnote>
  <w:footnote w:id="11">
    <w:p w:rsidRPr="00922C38" w:rsidR="0098532D" w:rsidP="0098532D" w:rsidRDefault="0098532D" w14:paraId="4ADDDBF7"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De ahora en adelante UGPP.</w:t>
      </w:r>
    </w:p>
  </w:footnote>
  <w:footnote w:id="12">
    <w:p w:rsidRPr="00922C38" w:rsidR="0098532D" w:rsidP="0098532D" w:rsidRDefault="0098532D" w14:paraId="3C4C7569" w14:textId="77777777">
      <w:pPr>
        <w:pStyle w:val="Textonotapie"/>
        <w:jc w:val="both"/>
        <w:rPr>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bCs/>
        </w:rPr>
        <w:t>A</w:t>
      </w:r>
      <w:r w:rsidRPr="00922C38">
        <w:rPr>
          <w:rFonts w:ascii="Arial" w:hAnsi="Arial" w:cs="Arial"/>
        </w:rPr>
        <w:t>rtículo 34. Procedimiento administrativo común y principal. Las actuaciones administrativas se sujetarán al procedimiento administrativo común y principal que se establece en este Código, sin perjuicio de los procedimientos administrativos regulados por leyes especiales. En lo no previsto en dichas leyes se aplicarán las disposiciones de esta Parte Primera del Código.</w:t>
      </w:r>
      <w:r w:rsidRPr="00922C38">
        <w:rPr>
          <w:lang w:val="es-CO"/>
        </w:rPr>
        <w:t xml:space="preserve"> </w:t>
      </w:r>
    </w:p>
  </w:footnote>
  <w:footnote w:id="13">
    <w:p w:rsidRPr="00922C38" w:rsidR="0098532D" w:rsidP="0098532D" w:rsidRDefault="0098532D" w14:paraId="5C411F73" w14:textId="77777777">
      <w:pPr>
        <w:pStyle w:val="Textonotapie"/>
        <w:mirrorIndents/>
        <w:jc w:val="both"/>
        <w:rPr>
          <w:rFonts w:ascii="Arial" w:hAnsi="Arial" w:cs="Arial"/>
        </w:rPr>
      </w:pPr>
      <w:r w:rsidRPr="00922C38">
        <w:rPr>
          <w:rStyle w:val="Refdenotaalpie"/>
          <w:rFonts w:ascii="Arial" w:hAnsi="Arial" w:cs="Arial" w:eastAsiaTheme="majorEastAsia"/>
        </w:rPr>
        <w:footnoteRef/>
      </w:r>
      <w:r w:rsidRPr="00922C38">
        <w:rPr>
          <w:rFonts w:ascii="Arial" w:hAnsi="Arial" w:cs="Arial"/>
        </w:rPr>
        <w:t>La remisión al artículo 14 del CPACA debe entenderse hecha al artículo 1</w:t>
      </w:r>
      <w:r w:rsidRPr="00922C38">
        <w:rPr>
          <w:rFonts w:ascii="Arial" w:hAnsi="Arial" w:cs="Arial"/>
          <w:lang w:val="es-CO"/>
        </w:rPr>
        <w:t>º</w:t>
      </w:r>
      <w:r w:rsidRPr="00922C38">
        <w:rPr>
          <w:rFonts w:ascii="Arial" w:hAnsi="Arial" w:cs="Arial"/>
        </w:rPr>
        <w:t xml:space="preserve"> de la Ley Estatutaria 1755 de 2015. </w:t>
      </w:r>
    </w:p>
  </w:footnote>
  <w:footnote w:id="14">
    <w:p w:rsidRPr="00922C38" w:rsidR="0098532D" w:rsidP="0098532D" w:rsidRDefault="0098532D" w14:paraId="4960649B"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Entre otras decisiones de la Sala: del </w:t>
      </w:r>
      <w:r w:rsidRPr="00922C38">
        <w:rPr>
          <w:rFonts w:ascii="Arial" w:hAnsi="Arial" w:cs="Arial"/>
          <w:lang w:val="es-CO"/>
        </w:rPr>
        <w:t xml:space="preserve">31 de marzo de 2022, Rad. </w:t>
      </w:r>
      <w:r w:rsidRPr="00922C38">
        <w:rPr>
          <w:rFonts w:ascii="Arial" w:hAnsi="Arial" w:cs="Arial"/>
        </w:rPr>
        <w:t>11001-03-06-000-20</w:t>
      </w:r>
      <w:r w:rsidRPr="00922C38">
        <w:rPr>
          <w:rFonts w:ascii="Arial" w:hAnsi="Arial" w:cs="Arial"/>
          <w:lang w:val="es-CO"/>
        </w:rPr>
        <w:t>21</w:t>
      </w:r>
      <w:r w:rsidRPr="00922C38">
        <w:rPr>
          <w:rFonts w:ascii="Arial" w:hAnsi="Arial" w:cs="Arial"/>
        </w:rPr>
        <w:t>-00</w:t>
      </w:r>
      <w:r w:rsidRPr="00922C38">
        <w:rPr>
          <w:rFonts w:ascii="Arial" w:hAnsi="Arial" w:cs="Arial"/>
          <w:lang w:val="es-CO"/>
        </w:rPr>
        <w:t>180</w:t>
      </w:r>
      <w:r w:rsidRPr="00922C38">
        <w:rPr>
          <w:rFonts w:ascii="Arial" w:hAnsi="Arial" w:cs="Arial"/>
        </w:rPr>
        <w:t>-00</w:t>
      </w:r>
      <w:r w:rsidRPr="00922C38">
        <w:rPr>
          <w:rFonts w:ascii="Arial" w:hAnsi="Arial" w:cs="Arial"/>
          <w:lang w:val="es-CO"/>
        </w:rPr>
        <w:t xml:space="preserve">, del </w:t>
      </w:r>
      <w:r w:rsidRPr="00922C38">
        <w:rPr>
          <w:rFonts w:ascii="Arial" w:hAnsi="Arial" w:cs="Arial"/>
        </w:rPr>
        <w:t>5 de marzo de 2019, Rad. núm. 11001-03-06-000-2018-00246-00</w:t>
      </w:r>
      <w:r w:rsidRPr="00026EBA">
        <w:rPr>
          <w:rFonts w:ascii="Arial" w:hAnsi="Arial" w:cs="Arial"/>
          <w:highlight w:val="magenta"/>
        </w:rPr>
        <w:t>;</w:t>
      </w:r>
      <w:r>
        <w:rPr>
          <w:rFonts w:ascii="Arial" w:hAnsi="Arial" w:cs="Arial"/>
          <w:lang w:val="es-ES"/>
        </w:rPr>
        <w:t xml:space="preserve"> </w:t>
      </w:r>
      <w:r w:rsidRPr="00922C38">
        <w:rPr>
          <w:rFonts w:ascii="Arial" w:hAnsi="Arial" w:cs="Arial"/>
          <w:lang w:val="es-CO"/>
        </w:rPr>
        <w:t>entre otras</w:t>
      </w:r>
      <w:r w:rsidRPr="00922C38">
        <w:rPr>
          <w:rFonts w:ascii="Arial" w:hAnsi="Arial" w:cs="Arial"/>
        </w:rPr>
        <w:t>.</w:t>
      </w:r>
    </w:p>
  </w:footnote>
  <w:footnote w:id="15">
    <w:p w:rsidRPr="00922C38" w:rsidR="0098532D" w:rsidP="0098532D" w:rsidRDefault="0098532D" w14:paraId="12006262"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100 de 1993 (diciembre 23) «Por la cual se crea el sistema de seguridad social integral y se dictan otras disposiciones». </w:t>
      </w:r>
    </w:p>
  </w:footnote>
  <w:footnote w:id="16">
    <w:p w:rsidRPr="00922C38" w:rsidR="0098532D" w:rsidP="0098532D" w:rsidRDefault="0098532D" w14:paraId="33CAF570"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Ley 100/93, artículo 11 (texto original): «El Sistema General de Pensiones, con las excepciones previstas en el artículo 279 de la presente ley, se aplicará a todos los habitantes del territorio nacional, conservando adicionalmente todos los derechos, garantías, prerrogativas, servicios y beneficios adquiridos y establecidos conforme a disposiciones normativas anteriores para quienes a la fecha de vigencia de esta ley hayan cumplido los requisitos para acceder a una pensión o se encuentren pensionados por jubilación, vejez, invalidez, sustitución o sobrevivientes de los sectores público, oficial, semioficial, en todos sus órdenes, del Instituto de Seguros Sociales y del sector privado en general. / Para efectos de este artículo se respetarán y por tanto mantendrán su vigencia los derechos adquiridos conforme a disposiciones normativas anteriores, pacto o convención colectiva de trabajo./Lo anterior será sin perjuicio del derecho de denuncia que le asiste a las partes y de que el tribunal de arbitramento dirima las diferencias entre las partes»</w:t>
      </w:r>
      <w:r w:rsidRPr="00922C38">
        <w:rPr>
          <w:rFonts w:ascii="Arial" w:hAnsi="Arial" w:cs="Arial"/>
          <w:lang w:val="es-CO"/>
        </w:rPr>
        <w:t>.</w:t>
      </w:r>
    </w:p>
  </w:footnote>
  <w:footnote w:id="17">
    <w:p w:rsidRPr="00922C38" w:rsidR="0098532D" w:rsidP="0098532D" w:rsidRDefault="0098532D" w14:paraId="0C368722"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Ley 100, artículo 12: «REGÍMENES DEL SISTEMA GENERAL DE PENSIONES. El Sistema General de Pensiones está compuesto por dos regímenes solidarios excluyentes pero que coexisten, a saber: a. Régimen Solidario de Prima Media con Prestación Definida. / b. Régimen de Ahorro Individual con Solidaridad»</w:t>
      </w:r>
      <w:r w:rsidRPr="00922C38">
        <w:rPr>
          <w:rFonts w:ascii="Arial" w:hAnsi="Arial" w:cs="Arial"/>
          <w:lang w:val="es-CO"/>
        </w:rPr>
        <w:t>.</w:t>
      </w:r>
    </w:p>
  </w:footnote>
  <w:footnote w:id="18">
    <w:p w:rsidRPr="00922C38" w:rsidR="0098532D" w:rsidP="0098532D" w:rsidRDefault="0098532D" w14:paraId="22EAD4BB"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del </w:t>
      </w:r>
      <w:r w:rsidRPr="00922C38">
        <w:rPr>
          <w:rFonts w:ascii="Arial" w:hAnsi="Arial" w:cs="Arial"/>
          <w:lang w:val="es-CO"/>
        </w:rPr>
        <w:t xml:space="preserve">31 de marzo de 2022, Rad. </w:t>
      </w:r>
      <w:r w:rsidRPr="00922C38">
        <w:rPr>
          <w:rFonts w:ascii="Arial" w:hAnsi="Arial" w:cs="Arial"/>
        </w:rPr>
        <w:t>11001-03-06-000-20</w:t>
      </w:r>
      <w:r w:rsidRPr="00922C38">
        <w:rPr>
          <w:rFonts w:ascii="Arial" w:hAnsi="Arial" w:cs="Arial"/>
          <w:lang w:val="es-CO"/>
        </w:rPr>
        <w:t>21</w:t>
      </w:r>
      <w:r w:rsidRPr="00922C38">
        <w:rPr>
          <w:rFonts w:ascii="Arial" w:hAnsi="Arial" w:cs="Arial"/>
        </w:rPr>
        <w:t>-00</w:t>
      </w:r>
      <w:r w:rsidRPr="00922C38">
        <w:rPr>
          <w:rFonts w:ascii="Arial" w:hAnsi="Arial" w:cs="Arial"/>
          <w:lang w:val="es-CO"/>
        </w:rPr>
        <w:t>180</w:t>
      </w:r>
      <w:r w:rsidRPr="00922C38">
        <w:rPr>
          <w:rFonts w:ascii="Arial" w:hAnsi="Arial" w:cs="Arial"/>
        </w:rPr>
        <w:t>-0</w:t>
      </w:r>
      <w:r w:rsidRPr="00922C38">
        <w:rPr>
          <w:rFonts w:ascii="Arial" w:hAnsi="Arial" w:cs="Arial"/>
          <w:lang w:val="es-CO"/>
        </w:rPr>
        <w:t>, del</w:t>
      </w:r>
      <w:r w:rsidRPr="00922C38">
        <w:rPr>
          <w:rFonts w:ascii="Arial" w:hAnsi="Arial" w:cs="Arial"/>
        </w:rPr>
        <w:t>15 de diciembre de 2016, Rad. núm</w:t>
      </w:r>
      <w:r w:rsidRPr="00026EBA">
        <w:rPr>
          <w:rFonts w:ascii="Arial" w:hAnsi="Arial" w:cs="Arial"/>
          <w:highlight w:val="magenta"/>
        </w:rPr>
        <w:t>.</w:t>
      </w:r>
      <w:r>
        <w:rPr>
          <w:rFonts w:ascii="Arial" w:hAnsi="Arial" w:cs="Arial"/>
          <w:lang w:val="es-ES"/>
        </w:rPr>
        <w:t xml:space="preserve"> </w:t>
      </w:r>
      <w:r w:rsidRPr="00922C38">
        <w:rPr>
          <w:rFonts w:ascii="Arial" w:hAnsi="Arial" w:cs="Arial"/>
        </w:rPr>
        <w:t>11001-03-06-000-2016-00224;.</w:t>
      </w:r>
      <w:r w:rsidRPr="00922C38">
        <w:t xml:space="preserve"> </w:t>
      </w:r>
    </w:p>
  </w:footnote>
  <w:footnote w:id="19">
    <w:p w:rsidRPr="00922C38" w:rsidR="0098532D" w:rsidP="0098532D" w:rsidRDefault="0098532D" w14:paraId="25EFD84F" w14:textId="77777777">
      <w:pPr>
        <w:pStyle w:val="Textonotapie"/>
        <w:jc w:val="both"/>
        <w:rPr>
          <w:rFonts w:ascii="Arial" w:hAnsi="Arial" w:cs="Arial"/>
          <w:i/>
          <w:lang w:val="es-CO"/>
        </w:rPr>
      </w:pPr>
      <w:r w:rsidRPr="00922C38">
        <w:rPr>
          <w:rStyle w:val="Refdenotaalpie"/>
          <w:rFonts w:ascii="Arial" w:hAnsi="Arial" w:cs="Arial"/>
        </w:rPr>
        <w:footnoteRef/>
      </w:r>
      <w:r w:rsidRPr="00922C38">
        <w:rPr>
          <w:rFonts w:ascii="Arial" w:hAnsi="Arial" w:cs="Arial"/>
          <w:i/>
        </w:rPr>
        <w:t xml:space="preserve"> </w:t>
      </w:r>
      <w:r w:rsidRPr="00922C38">
        <w:rPr>
          <w:rFonts w:ascii="Arial" w:hAnsi="Arial" w:cs="Arial"/>
        </w:rPr>
        <w:t>Ley 100 de 1993, Artículo 151. «Vigencia del sistema general de pensiones. El sistema general de pensiones previsto en la presente ley, regirá a partir del 1º de abril de 1994. No obstante, el gobierno podrá autorizar el funcionamiento de las administradoras de los fondos de pensiones y de cesantía con sujeción a las disposiciones contempladas en la presente ley, a partir de la vigencia de la misma. / Parágrafo. El sistema general de pensiones para los servidores públicos del nivel departamental, municipal y distrital, entrará a regir a más tardar el 30 de junio de 1995, en la fecha que así lo determine la respectiva autoridad gubernamental»</w:t>
      </w:r>
      <w:r w:rsidRPr="00922C38">
        <w:rPr>
          <w:rFonts w:ascii="Arial" w:hAnsi="Arial" w:cs="Arial"/>
          <w:lang w:val="es-CO"/>
        </w:rPr>
        <w:t>.</w:t>
      </w:r>
    </w:p>
  </w:footnote>
  <w:footnote w:id="20">
    <w:p w:rsidRPr="00922C38" w:rsidR="0098532D" w:rsidP="0098532D" w:rsidRDefault="0098532D" w14:paraId="7D4A2863" w14:textId="77777777">
      <w:pPr>
        <w:pStyle w:val="Textonotapie"/>
        <w:jc w:val="both"/>
      </w:pPr>
      <w:r w:rsidRPr="00922C38">
        <w:rPr>
          <w:rStyle w:val="Refdenotaalpie"/>
          <w:rFonts w:ascii="Arial" w:hAnsi="Arial" w:cs="Arial"/>
        </w:rPr>
        <w:footnoteRef/>
      </w:r>
      <w:r w:rsidRPr="00922C38">
        <w:rPr>
          <w:rFonts w:ascii="Arial" w:hAnsi="Arial" w:cs="Arial"/>
        </w:rPr>
        <w:t xml:space="preserve"> Acto Legislativo 01 de 2005 (julio 22) «Por el cual se adiciona el artículo 48 de la Constitución Política».</w:t>
      </w:r>
      <w:r w:rsidRPr="00922C38">
        <w:t xml:space="preserve"> </w:t>
      </w:r>
    </w:p>
  </w:footnote>
  <w:footnote w:id="21">
    <w:p w:rsidRPr="00922C38" w:rsidR="0098532D" w:rsidP="0098532D" w:rsidRDefault="0098532D" w14:paraId="20FC4811"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A. L. 01/05.  Artículo 2o. «El presente acto legislativo rige a partir de la fecha de su publicación»</w:t>
      </w:r>
      <w:r w:rsidRPr="00922C38">
        <w:rPr>
          <w:rFonts w:ascii="Arial" w:hAnsi="Arial" w:cs="Arial"/>
          <w:lang w:val="es-CO"/>
        </w:rPr>
        <w:t>.</w:t>
      </w:r>
      <w:r w:rsidRPr="00922C38">
        <w:rPr>
          <w:rFonts w:ascii="Arial" w:hAnsi="Arial" w:cs="Arial"/>
        </w:rPr>
        <w:t xml:space="preserve">Fue publicado en el Diario Oficial No. 45.980 de 25 de julio de 2005 </w:t>
      </w:r>
    </w:p>
  </w:footnote>
  <w:footnote w:id="22">
    <w:p w:rsidRPr="00922C38" w:rsidR="0098532D" w:rsidP="0098532D" w:rsidRDefault="0098532D" w14:paraId="09656F73"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concepto del 10 de diciembre de 2013, Radicación No.  2194, Expediente 11001 03 06 000 2013 00540 00</w:t>
      </w:r>
    </w:p>
  </w:footnote>
  <w:footnote w:id="23">
    <w:p w:rsidRPr="00922C38" w:rsidR="0098532D" w:rsidP="0098532D" w:rsidRDefault="0098532D" w14:paraId="137135E5" w14:textId="77777777">
      <w:pPr>
        <w:pStyle w:val="Textonotapie"/>
        <w:jc w:val="both"/>
        <w:rPr>
          <w:lang w:val="es-MX"/>
        </w:rPr>
      </w:pPr>
      <w:r w:rsidRPr="00922C38">
        <w:rPr>
          <w:rStyle w:val="Refdenotaalpie"/>
        </w:rPr>
        <w:footnoteRef/>
      </w:r>
      <w:r w:rsidRPr="00922C38">
        <w:t xml:space="preserve"> </w:t>
      </w:r>
      <w:r w:rsidRPr="00922C38">
        <w:rPr>
          <w:rFonts w:ascii="Arial" w:hAnsi="Arial" w:cs="Arial"/>
        </w:rPr>
        <w:t>Consejo de Estado, Sala de Consulta y Servicio Civil, Decisión</w:t>
      </w:r>
      <w:r w:rsidRPr="00922C38">
        <w:rPr>
          <w:rFonts w:ascii="Arial" w:hAnsi="Arial" w:cs="Arial"/>
          <w:lang w:val="es-MX"/>
        </w:rPr>
        <w:t xml:space="preserve"> del 13 de agosto de 2021 Rad. núm. </w:t>
      </w:r>
      <w:r w:rsidRPr="00922C38">
        <w:rPr>
          <w:rFonts w:ascii="Arial" w:hAnsi="Arial" w:cs="Arial"/>
        </w:rPr>
        <w:t>11001-03-06-000-2021-00066-00(C)</w:t>
      </w:r>
      <w:r w:rsidRPr="00922C38">
        <w:rPr>
          <w:rFonts w:ascii="Arial" w:hAnsi="Arial" w:cs="Arial"/>
          <w:lang w:val="es-MX"/>
        </w:rPr>
        <w:t xml:space="preserve">. </w:t>
      </w:r>
    </w:p>
  </w:footnote>
  <w:footnote w:id="24">
    <w:p w:rsidRPr="00922C38" w:rsidR="0098532D" w:rsidP="0098532D" w:rsidRDefault="0098532D" w14:paraId="792D3E9F"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71 de 1988 (diciembre 19) «</w:t>
      </w:r>
      <w:r>
        <w:rPr>
          <w:rFonts w:ascii="Arial" w:hAnsi="Arial" w:cs="Arial"/>
          <w:lang w:val="es-ES"/>
        </w:rPr>
        <w:t>P</w:t>
      </w:r>
      <w:r w:rsidRPr="00922C38">
        <w:rPr>
          <w:rFonts w:ascii="Arial" w:hAnsi="Arial" w:cs="Arial"/>
        </w:rPr>
        <w:t>or la cual se expiden normas sobre pensiones y se dictan otras disposiciones».</w:t>
      </w:r>
    </w:p>
  </w:footnote>
  <w:footnote w:id="25">
    <w:p w:rsidRPr="00922C38" w:rsidR="0098532D" w:rsidP="0098532D" w:rsidRDefault="0098532D" w14:paraId="57C84EF3" w14:textId="77777777">
      <w:pPr>
        <w:pStyle w:val="Textonotapie"/>
        <w:jc w:val="both"/>
        <w:rPr>
          <w:rFonts w:ascii="Arial" w:hAnsi="Arial" w:cs="Arial"/>
        </w:rPr>
      </w:pPr>
      <w:r w:rsidRPr="00922C38">
        <w:rPr>
          <w:rStyle w:val="Refdenotaalpie"/>
        </w:rPr>
        <w:footnoteRef/>
      </w:r>
      <w:r w:rsidRPr="00922C38">
        <w:t xml:space="preserve"> </w:t>
      </w:r>
      <w:r w:rsidRPr="00922C38">
        <w:rPr>
          <w:lang w:val="es-MX"/>
        </w:rPr>
        <w:t xml:space="preserve"> </w:t>
      </w:r>
      <w:r w:rsidRPr="00922C38">
        <w:rPr>
          <w:rFonts w:ascii="Arial" w:hAnsi="Arial" w:cs="Arial"/>
          <w:lang w:val="es-MX"/>
        </w:rPr>
        <w:t xml:space="preserve">Decreto 2709 de 1994. </w:t>
      </w:r>
      <w:r w:rsidRPr="00922C38">
        <w:rPr>
          <w:rFonts w:ascii="Arial" w:hAnsi="Arial" w:cs="Arial"/>
        </w:rPr>
        <w:t>«</w:t>
      </w:r>
      <w:r w:rsidRPr="00922C38">
        <w:rPr>
          <w:rFonts w:ascii="Arial" w:hAnsi="Arial" w:cs="Arial" w:eastAsiaTheme="minorHAnsi"/>
          <w:bCs/>
          <w:shd w:val="clear" w:color="auto" w:fill="FFFFFF"/>
          <w:lang w:val="es-CO" w:eastAsia="en-US"/>
        </w:rPr>
        <w:t>Por el cual se reglamenta el artículo 7de la Ley 71 de 1988</w:t>
      </w:r>
      <w:r w:rsidRPr="00922C38">
        <w:rPr>
          <w:rFonts w:ascii="Arial" w:hAnsi="Arial" w:cs="Arial"/>
        </w:rPr>
        <w:t>»</w:t>
      </w:r>
    </w:p>
  </w:footnote>
  <w:footnote w:id="26">
    <w:p w:rsidRPr="00922C38" w:rsidR="0098532D" w:rsidP="0098532D" w:rsidRDefault="0098532D" w14:paraId="3A899D6A" w14:textId="77777777">
      <w:pPr>
        <w:pStyle w:val="Textonotapie"/>
        <w:jc w:val="both"/>
        <w:rPr>
          <w:lang w:val="es-ES"/>
        </w:rPr>
      </w:pPr>
      <w:r>
        <w:rPr>
          <w:rStyle w:val="Refdenotaalpie"/>
        </w:rPr>
        <w:footnoteRef/>
      </w:r>
      <w:r>
        <w:t xml:space="preserve"> </w:t>
      </w:r>
      <w:r w:rsidRPr="00922C38">
        <w:rPr>
          <w:rFonts w:ascii="Arial" w:hAnsi="Arial" w:cs="Arial"/>
        </w:rPr>
        <w:t>Consejo de Estado, Sala de Consulta y Servicio Civil, Decisión</w:t>
      </w:r>
      <w:r w:rsidRPr="00922C38">
        <w:rPr>
          <w:rFonts w:ascii="Arial" w:hAnsi="Arial" w:cs="Arial"/>
          <w:lang w:val="es-MX"/>
        </w:rPr>
        <w:t xml:space="preserve"> del 13 de agosto de 2021 Rad. núm. </w:t>
      </w:r>
      <w:r w:rsidRPr="00922C38">
        <w:rPr>
          <w:rFonts w:ascii="Arial" w:hAnsi="Arial" w:cs="Arial"/>
        </w:rPr>
        <w:t>11001-03-06-000-2021-00066-00(C)</w:t>
      </w:r>
      <w:r>
        <w:rPr>
          <w:rFonts w:ascii="Arial" w:hAnsi="Arial" w:cs="Arial"/>
          <w:lang w:val="es-MX"/>
        </w:rPr>
        <w:t xml:space="preserve">; </w:t>
      </w:r>
      <w:r w:rsidRPr="004A1D93">
        <w:rPr>
          <w:rFonts w:ascii="Arial" w:hAnsi="Arial" w:cs="Arial"/>
          <w:lang w:val="es-MX"/>
        </w:rPr>
        <w:t>Consejo de Estado, Sala de Consulta y Servicio Civil, Decisión del 31 de agosto de 2021 Rad. núm. 11001-03-06-000-2021-00064-00(C)</w:t>
      </w:r>
      <w:r>
        <w:rPr>
          <w:rFonts w:ascii="Arial" w:hAnsi="Arial" w:cs="Arial"/>
          <w:lang w:val="es-MX"/>
        </w:rPr>
        <w:t xml:space="preserve">; </w:t>
      </w:r>
      <w:r w:rsidRPr="004A1D93">
        <w:rPr>
          <w:rFonts w:ascii="Arial" w:hAnsi="Arial" w:cs="Arial"/>
          <w:lang w:val="es-MX"/>
        </w:rPr>
        <w:t>Consejo de Estado, Sala de Consulta y Servicio Civil, Decisión del 9 de marzo de 2021 Rad. núm. 11001-03-06-000-2020-00222-00(C)</w:t>
      </w:r>
      <w:r>
        <w:rPr>
          <w:rFonts w:ascii="Arial" w:hAnsi="Arial" w:cs="Arial"/>
          <w:lang w:val="es-MX"/>
        </w:rPr>
        <w:t>.</w:t>
      </w:r>
    </w:p>
  </w:footnote>
  <w:footnote w:id="27">
    <w:p w:rsidRPr="00922C38" w:rsidR="0098532D" w:rsidP="0098532D" w:rsidRDefault="0098532D" w14:paraId="4C68BCE1"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Consejo de Estado, Sala de Consulta y Servicio Civil, Decisión del 9 de diciembre de 2020, Rad.núm.11001-03-06-000-2020-00219-00(C); Decisión del 27 de agosto de 2019, Rad. núm. 11001-03-06-000-2019-00086-00(C); Decisión del 17 de septiembre de 2018, Rad. núm.11001-03-06-000-2018-00127-00(C); Decisión del 12 de diciembre de 2017, Rad. núm.11001-03-06-000-2017-00183-00(C).</w:t>
      </w:r>
    </w:p>
  </w:footnote>
  <w:footnote w:id="28">
    <w:p w:rsidRPr="00922C38" w:rsidR="0098532D" w:rsidP="0098532D" w:rsidRDefault="0098532D" w14:paraId="6922E79E" w14:textId="77777777">
      <w:pPr>
        <w:pStyle w:val="Textonotapie"/>
        <w:jc w:val="both"/>
      </w:pPr>
      <w:r w:rsidRPr="00922C38">
        <w:rPr>
          <w:rStyle w:val="Refdenotaalpie"/>
        </w:rPr>
        <w:footnoteRef/>
      </w:r>
      <w:r w:rsidRPr="00922C38">
        <w:t xml:space="preserve"> </w:t>
      </w:r>
      <w:r w:rsidRPr="00922C38">
        <w:rPr>
          <w:rFonts w:ascii="Arial" w:hAnsi="Arial" w:cs="Arial"/>
        </w:rPr>
        <w:t>Decreto 813 de 1994 (abril 21) «Por el cual se reglamenta el artículo 36 de la Ley 100 de 1993»</w:t>
      </w:r>
    </w:p>
  </w:footnote>
  <w:footnote w:id="29">
    <w:p w:rsidRPr="00922C38" w:rsidR="0098532D" w:rsidP="0098532D" w:rsidRDefault="0098532D" w14:paraId="7B1C771B" w14:textId="77777777">
      <w:pPr>
        <w:pStyle w:val="Textonotapie"/>
        <w:jc w:val="both"/>
        <w:rPr>
          <w:lang w:val="es-ES"/>
        </w:rPr>
      </w:pPr>
      <w:r w:rsidRPr="00922C38">
        <w:rPr>
          <w:rStyle w:val="Refdenotaalpie"/>
        </w:rPr>
        <w:footnoteRef/>
      </w:r>
      <w:r w:rsidRPr="00922C38">
        <w:t xml:space="preserve"> </w:t>
      </w:r>
      <w:r w:rsidRPr="00922C38">
        <w:rPr>
          <w:rFonts w:ascii="Arial" w:hAnsi="Arial" w:cs="Arial"/>
        </w:rPr>
        <w:t>Consejo de Estado, Sala de Consulta y Servicio Civil, Decisión del 9 de diciembre de 2020, Rad.núm.11001-03-06-000-2020-00219-00(C); Decisión del 27 de agosto de 2019, Rad. núm. 11001-03-06-000-2019-00086-00(C); Decisión del 17 de septiembre de 2018, Rad. núm.11001-03-06-000-2018-00127-00(C); Decisión del 12 de diciembre de 2017, Rad. núm.11001-03-06-000-2017-00183-00(C).</w:t>
      </w:r>
    </w:p>
  </w:footnote>
  <w:footnote w:id="30">
    <w:p w:rsidRPr="00922C38" w:rsidR="0098532D" w:rsidP="0098532D" w:rsidRDefault="0098532D" w14:paraId="0E12376E"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del 13 de diciembre de 2021, Rad. </w:t>
      </w:r>
      <w:r w:rsidRPr="00922C38">
        <w:rPr>
          <w:rFonts w:ascii="Arial" w:hAnsi="Arial" w:cs="Arial"/>
        </w:rPr>
        <w:t>11001030600020210009300</w:t>
      </w:r>
      <w:r w:rsidRPr="00922C38">
        <w:rPr>
          <w:rFonts w:ascii="Arial" w:hAnsi="Arial" w:cs="Arial"/>
          <w:lang w:val="es-CO"/>
        </w:rPr>
        <w:t xml:space="preserve">, </w:t>
      </w:r>
      <w:r w:rsidRPr="00922C38">
        <w:rPr>
          <w:rFonts w:ascii="Arial" w:hAnsi="Arial" w:cs="Arial"/>
        </w:rPr>
        <w:t>Decisión del 14 de diciembre de 2020, Rad. núm. 11001 03 06 000 2020 00224 00</w:t>
      </w:r>
      <w:r w:rsidRPr="00922C38">
        <w:rPr>
          <w:rFonts w:ascii="Arial" w:hAnsi="Arial" w:cs="Arial"/>
          <w:lang w:val="es-CO"/>
        </w:rPr>
        <w:t xml:space="preserve">, entre otras. </w:t>
      </w:r>
    </w:p>
  </w:footnote>
  <w:footnote w:id="31">
    <w:p w:rsidRPr="000F65F2" w:rsidR="0098532D" w:rsidP="0098532D" w:rsidRDefault="0098532D" w14:paraId="6BE52ABC" w14:textId="77777777">
      <w:pPr>
        <w:pStyle w:val="Textonotapie"/>
        <w:jc w:val="both"/>
        <w:rPr>
          <w:lang w:val="es-ES"/>
        </w:rPr>
      </w:pPr>
      <w:r>
        <w:rPr>
          <w:rStyle w:val="Refdenotaalpie"/>
        </w:rPr>
        <w:footnoteRef/>
      </w:r>
      <w:r>
        <w:t xml:space="preserve"> </w:t>
      </w:r>
      <w:r>
        <w:rPr>
          <w:rFonts w:eastAsia="Arial Unicode MS" w:cs="Arial"/>
          <w:bCs/>
          <w:lang w:val="es-ES"/>
        </w:rPr>
        <w:t xml:space="preserve">Reglamentado por el </w:t>
      </w:r>
      <w:r w:rsidRPr="0011186D">
        <w:rPr>
          <w:rFonts w:eastAsia="Arial Unicode MS" w:cs="Arial"/>
          <w:bCs/>
        </w:rPr>
        <w:t>Decreto 692 de 199</w:t>
      </w:r>
      <w:r>
        <w:rPr>
          <w:rFonts w:eastAsia="Arial Unicode MS" w:cs="Arial"/>
          <w:bCs/>
        </w:rPr>
        <w:t>4</w:t>
      </w:r>
      <w:r>
        <w:rPr>
          <w:rFonts w:eastAsia="Arial Unicode MS" w:cs="Arial"/>
          <w:bCs/>
          <w:lang w:val="es-ES"/>
        </w:rPr>
        <w:t xml:space="preserve"> </w:t>
      </w:r>
      <w:r w:rsidRPr="00922C38">
        <w:rPr>
          <w:rStyle w:val="Textoennegrita"/>
          <w:rFonts w:ascii="Arial" w:hAnsi="Arial" w:cs="Arial"/>
          <w:b w:val="0"/>
          <w:bCs w:val="0"/>
          <w:shd w:val="clear" w:color="auto" w:fill="FFFFFF"/>
        </w:rPr>
        <w:t>«Por el cual se reglamenta parcialmente la Ley</w:t>
      </w:r>
      <w:r w:rsidRPr="00922C38">
        <w:rPr>
          <w:rStyle w:val="Textoennegrita"/>
          <w:rFonts w:ascii="Arial" w:hAnsi="Arial" w:cs="Arial"/>
          <w:b w:val="0"/>
          <w:bCs w:val="0"/>
          <w:shd w:val="clear" w:color="auto" w:fill="FFFFFF"/>
          <w:lang w:val="es-CO"/>
        </w:rPr>
        <w:t xml:space="preserve"> </w:t>
      </w:r>
      <w:r w:rsidRPr="00922C38">
        <w:rPr>
          <w:rFonts w:ascii="Arial" w:hAnsi="Arial" w:cs="Arial"/>
          <w:shd w:val="clear" w:color="auto" w:fill="FFFFFF"/>
        </w:rPr>
        <w:t xml:space="preserve">100 </w:t>
      </w:r>
      <w:r w:rsidRPr="00922C38">
        <w:rPr>
          <w:rStyle w:val="Textoennegrita"/>
          <w:rFonts w:ascii="Arial" w:hAnsi="Arial" w:cs="Arial"/>
          <w:b w:val="0"/>
          <w:bCs w:val="0"/>
          <w:shd w:val="clear" w:color="auto" w:fill="FFFFFF"/>
        </w:rPr>
        <w:t>de 1993».</w:t>
      </w:r>
    </w:p>
  </w:footnote>
  <w:footnote w:id="32">
    <w:p w:rsidRPr="00922C38" w:rsidR="0098532D" w:rsidP="0098532D" w:rsidRDefault="0098532D" w14:paraId="51A55BD7"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1151 de 2007 (julio 24), «Por la cual se expide el Plan Nacional de Desarrollo 2006-2010».</w:t>
      </w:r>
    </w:p>
  </w:footnote>
  <w:footnote w:id="33">
    <w:p w:rsidRPr="00922C38" w:rsidR="0098532D" w:rsidP="0098532D" w:rsidRDefault="0098532D" w14:paraId="4FC13686"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2011 de 2012 (septiembre 28), «Por el cual se determina y reglamenta la entrada en operación de la Administradora Colombiana de Pensiones – Colpensiones, y se dictan otras disposiciones».</w:t>
      </w:r>
      <w:r w:rsidRPr="00922C38">
        <w:rPr>
          <w:rFonts w:ascii="Arial" w:hAnsi="Arial" w:cs="Arial"/>
          <w:b/>
          <w:bCs/>
        </w:rPr>
        <w:t xml:space="preserve"> </w:t>
      </w:r>
    </w:p>
  </w:footnote>
  <w:footnote w:id="34">
    <w:p w:rsidRPr="00922C38" w:rsidR="0098532D" w:rsidP="0098532D" w:rsidRDefault="0098532D" w14:paraId="42559057"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2012 de 2012 (septiembre 28), «Por </w:t>
      </w:r>
      <w:r w:rsidRPr="00922C38">
        <w:rPr>
          <w:rFonts w:ascii="Arial" w:hAnsi="Arial" w:cs="Arial"/>
          <w:lang w:val="es-ES"/>
        </w:rPr>
        <w:t xml:space="preserve">el cual se suprimen unas dependencias de la estructura del Instituto de Seguros Sociales –ISS». </w:t>
      </w:r>
    </w:p>
  </w:footnote>
  <w:footnote w:id="35">
    <w:p w:rsidRPr="00922C38" w:rsidR="0098532D" w:rsidP="0098532D" w:rsidRDefault="0098532D" w14:paraId="678F3564"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2013 de 2012 (septiembre 28), «Por el cual se suprime el Instituto de Seguros Sociales, ISS, se ordena su liquidación, y se dictan otras disposiciones». </w:t>
      </w:r>
    </w:p>
  </w:footnote>
  <w:footnote w:id="36">
    <w:p w:rsidRPr="00922C38" w:rsidR="0098532D" w:rsidP="0098532D" w:rsidRDefault="0098532D" w14:paraId="7C002AB8" w14:textId="77777777">
      <w:pPr>
        <w:pStyle w:val="Textonotapie"/>
        <w:jc w:val="both"/>
        <w:rPr>
          <w:lang w:val="es-ES"/>
        </w:rPr>
      </w:pPr>
      <w:r w:rsidRPr="00922C38">
        <w:rPr>
          <w:rStyle w:val="Refdenotaalpie"/>
        </w:rPr>
        <w:footnoteRef/>
      </w:r>
      <w:r w:rsidRPr="00922C38">
        <w:t xml:space="preserve"> </w:t>
      </w:r>
      <w:r w:rsidRPr="00922C38">
        <w:rPr>
          <w:rFonts w:ascii="Arial" w:hAnsi="Arial" w:cs="Arial"/>
        </w:rPr>
        <w:t xml:space="preserve">Consejo de Estado, Sala de Consulta y Servicio Civil, </w:t>
      </w:r>
      <w:r w:rsidRPr="00922C38">
        <w:rPr>
          <w:rFonts w:ascii="Arial" w:hAnsi="Arial" w:cs="Arial"/>
          <w:lang w:val="es-CO"/>
        </w:rPr>
        <w:t xml:space="preserve">Decisión del 13 de diciembre de 2021, Rad. </w:t>
      </w:r>
      <w:r w:rsidRPr="00922C38">
        <w:rPr>
          <w:rFonts w:ascii="Arial" w:hAnsi="Arial" w:cs="Arial"/>
        </w:rPr>
        <w:t>11001030600020210009300</w:t>
      </w:r>
      <w:r w:rsidRPr="00922C38">
        <w:rPr>
          <w:rFonts w:ascii="Arial" w:hAnsi="Arial" w:cs="Arial"/>
          <w:lang w:val="es-CO"/>
        </w:rPr>
        <w:t xml:space="preserve">, </w:t>
      </w:r>
      <w:r w:rsidRPr="00922C38">
        <w:rPr>
          <w:rFonts w:ascii="Arial" w:hAnsi="Arial" w:cs="Arial"/>
        </w:rPr>
        <w:t>Decisión del 14 de diciembre de 2020, Rad. núm. 11001 03 06 000 2020 00224 00</w:t>
      </w:r>
      <w:r w:rsidRPr="00922C38">
        <w:rPr>
          <w:rFonts w:ascii="Arial" w:hAnsi="Arial" w:cs="Arial"/>
          <w:lang w:val="es-CO"/>
        </w:rPr>
        <w:t>.</w:t>
      </w:r>
    </w:p>
  </w:footnote>
  <w:footnote w:id="37">
    <w:p w:rsidRPr="00922C38" w:rsidR="0098532D" w:rsidP="0098532D" w:rsidRDefault="0098532D" w14:paraId="2D73DC8A"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w:t>
      </w:r>
      <w:r w:rsidRPr="00922C38">
        <w:rPr>
          <w:rFonts w:ascii="Arial" w:hAnsi="Arial" w:cs="Arial"/>
        </w:rPr>
        <w:t>de</w:t>
      </w:r>
      <w:r w:rsidRPr="00922C38">
        <w:rPr>
          <w:rFonts w:ascii="Arial" w:hAnsi="Arial" w:cs="Arial"/>
          <w:lang w:val="es-CO"/>
        </w:rPr>
        <w:t xml:space="preserve">l 25 </w:t>
      </w:r>
      <w:r w:rsidRPr="00922C38">
        <w:rPr>
          <w:rFonts w:ascii="Arial" w:hAnsi="Arial" w:cs="Arial"/>
        </w:rPr>
        <w:t xml:space="preserve">de </w:t>
      </w:r>
      <w:r w:rsidRPr="00922C38">
        <w:rPr>
          <w:rFonts w:ascii="Arial" w:hAnsi="Arial" w:cs="Arial"/>
          <w:lang w:val="es-CO"/>
        </w:rPr>
        <w:t xml:space="preserve">mayo de </w:t>
      </w:r>
      <w:r w:rsidRPr="00922C38">
        <w:rPr>
          <w:rFonts w:ascii="Arial" w:hAnsi="Arial" w:cs="Arial"/>
        </w:rPr>
        <w:t>20</w:t>
      </w:r>
      <w:r w:rsidRPr="00922C38">
        <w:rPr>
          <w:rFonts w:ascii="Arial" w:hAnsi="Arial" w:cs="Arial"/>
          <w:lang w:val="es-CO"/>
        </w:rPr>
        <w:t xml:space="preserve">22, </w:t>
      </w:r>
      <w:r w:rsidRPr="00922C38">
        <w:rPr>
          <w:rFonts w:ascii="Arial" w:hAnsi="Arial" w:cs="Arial"/>
        </w:rPr>
        <w:t xml:space="preserve">Radicado </w:t>
      </w:r>
      <w:r w:rsidRPr="00922C38">
        <w:rPr>
          <w:rFonts w:ascii="Arial" w:hAnsi="Arial" w:cs="Arial"/>
          <w:szCs w:val="24"/>
        </w:rPr>
        <w:t>11001-03-06-000-202</w:t>
      </w:r>
      <w:r w:rsidRPr="00922C38">
        <w:rPr>
          <w:rFonts w:ascii="Arial" w:hAnsi="Arial" w:cs="Arial"/>
          <w:szCs w:val="24"/>
          <w:lang w:val="es-CO"/>
        </w:rPr>
        <w:t>1</w:t>
      </w:r>
      <w:r w:rsidRPr="00922C38">
        <w:rPr>
          <w:rFonts w:ascii="Arial" w:hAnsi="Arial" w:cs="Arial"/>
          <w:szCs w:val="24"/>
        </w:rPr>
        <w:t>-00</w:t>
      </w:r>
      <w:r w:rsidRPr="00922C38">
        <w:rPr>
          <w:rFonts w:ascii="Arial" w:hAnsi="Arial" w:cs="Arial"/>
          <w:szCs w:val="24"/>
          <w:lang w:val="es-CO"/>
        </w:rPr>
        <w:t>176</w:t>
      </w:r>
      <w:r w:rsidRPr="00922C38">
        <w:rPr>
          <w:rFonts w:ascii="Arial" w:hAnsi="Arial" w:cs="Arial"/>
          <w:szCs w:val="24"/>
        </w:rPr>
        <w:t>-00</w:t>
      </w:r>
    </w:p>
  </w:footnote>
  <w:footnote w:id="38">
    <w:p w:rsidRPr="00922C38" w:rsidR="0098532D" w:rsidP="0098532D" w:rsidRDefault="0098532D" w14:paraId="50E0722C"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L</w:t>
      </w:r>
      <w:r w:rsidRPr="00922C38">
        <w:rPr>
          <w:rFonts w:ascii="Arial" w:hAnsi="Arial" w:cs="Arial"/>
        </w:rPr>
        <w:t>os miembros y personal civil de las Fuerzas Militares y de la Policía Nacional, los miembros no remunerados de las Corporaciones Públicas, los afiliados al Fondo Nacional de Prestaciones Sociales del Magisterio y los servidores públicos y pensionados de la Empresa Colombiana de Petróleos</w:t>
      </w:r>
      <w:r w:rsidRPr="00922C38">
        <w:rPr>
          <w:rFonts w:ascii="Arial" w:hAnsi="Arial" w:cs="Arial"/>
          <w:lang w:val="es-CO"/>
        </w:rPr>
        <w:t>.</w:t>
      </w:r>
    </w:p>
  </w:footnote>
  <w:footnote w:id="39">
    <w:p w:rsidRPr="00922C38" w:rsidR="0098532D" w:rsidP="0098532D" w:rsidRDefault="0098532D" w14:paraId="4D88EC3B"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Decreto 692 de 1994</w:t>
      </w:r>
      <w:r w:rsidRPr="00922C38">
        <w:rPr>
          <w:rFonts w:ascii="Arial" w:hAnsi="Arial" w:cs="Arial"/>
          <w:lang w:val="es-CO"/>
        </w:rPr>
        <w:t xml:space="preserve"> (marzo 29) </w:t>
      </w:r>
      <w:r w:rsidRPr="00922C38">
        <w:rPr>
          <w:rFonts w:ascii="Arial" w:hAnsi="Arial" w:cs="Arial"/>
          <w:bCs/>
        </w:rPr>
        <w:t>«</w:t>
      </w:r>
      <w:r w:rsidRPr="00922C38">
        <w:rPr>
          <w:rFonts w:ascii="Arial" w:hAnsi="Arial" w:cs="Arial"/>
          <w:lang w:val="es-CO"/>
        </w:rPr>
        <w:t>[P]</w:t>
      </w:r>
      <w:r w:rsidRPr="00922C38">
        <w:rPr>
          <w:rFonts w:ascii="Arial" w:hAnsi="Arial" w:cs="Arial"/>
        </w:rPr>
        <w:t>or el cual se reglamenta la entrada en vigencia del sistema general de pensiones en los niveles departamental, municipal y distrital, la constitución de los fondos de pensiones del nivel territorial, y la declaratoria de solvencia de las cajas, fondos o entidades de previsión social del sector púb</w:t>
      </w:r>
      <w:bookmarkStart w:name="_GoBack" w:id="7"/>
      <w:bookmarkEnd w:id="7"/>
      <w:r w:rsidRPr="00922C38">
        <w:rPr>
          <w:rFonts w:ascii="Arial" w:hAnsi="Arial" w:cs="Arial"/>
        </w:rPr>
        <w:t>lico del nivel territorial</w:t>
      </w:r>
      <w:r w:rsidRPr="00922C38">
        <w:rPr>
          <w:rFonts w:ascii="Arial" w:hAnsi="Arial" w:cs="Arial"/>
          <w:bCs/>
        </w:rPr>
        <w:t>»</w:t>
      </w:r>
      <w:r w:rsidRPr="00922C38">
        <w:rPr>
          <w:rFonts w:ascii="Arial" w:hAnsi="Arial" w:cs="Arial"/>
          <w:bCs/>
          <w:lang w:val="es-CO"/>
        </w:rPr>
        <w:t>.</w:t>
      </w:r>
    </w:p>
  </w:footnote>
  <w:footnote w:id="40">
    <w:p w:rsidRPr="00922C38" w:rsidR="0098532D" w:rsidP="0098532D" w:rsidRDefault="0098532D" w14:paraId="18DB8301" w14:textId="77777777">
      <w:pPr>
        <w:spacing w:after="0"/>
        <w:jc w:val="both"/>
        <w:rPr>
          <w:rFonts w:cs="Arial"/>
        </w:rPr>
      </w:pPr>
      <w:r w:rsidRPr="00922C38">
        <w:rPr>
          <w:rStyle w:val="Refdenotaalpie"/>
          <w:rFonts w:cs="Arial"/>
          <w:sz w:val="20"/>
          <w:szCs w:val="20"/>
        </w:rPr>
        <w:footnoteRef/>
      </w:r>
      <w:r w:rsidRPr="00922C38">
        <w:rPr>
          <w:rFonts w:cs="Arial"/>
          <w:sz w:val="20"/>
          <w:szCs w:val="20"/>
        </w:rPr>
        <w:t xml:space="preserve"> La reglamentación de la declaración de solvencia, insolvencia y del proceso de liquidación de estas entidades se encuentra en el Decreto 1068 de 1995, en concordancia con lo establecido en el artículo 151 de la Ley 100 de 1993.</w:t>
      </w:r>
    </w:p>
  </w:footnote>
  <w:footnote w:id="41">
    <w:p w:rsidRPr="00922C38" w:rsidR="0098532D" w:rsidP="0098532D" w:rsidRDefault="0098532D" w14:paraId="383D8299"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w:t>
      </w:r>
      <w:r w:rsidRPr="00922C38">
        <w:rPr>
          <w:rFonts w:ascii="Arial" w:hAnsi="Arial" w:cs="Arial"/>
        </w:rPr>
        <w:t>de</w:t>
      </w:r>
      <w:r w:rsidRPr="00922C38">
        <w:rPr>
          <w:rFonts w:ascii="Arial" w:hAnsi="Arial" w:cs="Arial"/>
          <w:lang w:val="es-CO"/>
        </w:rPr>
        <w:t xml:space="preserve">l 20 </w:t>
      </w:r>
      <w:r w:rsidRPr="00922C38">
        <w:rPr>
          <w:rFonts w:ascii="Arial" w:hAnsi="Arial" w:cs="Arial"/>
        </w:rPr>
        <w:t xml:space="preserve">de </w:t>
      </w:r>
      <w:r w:rsidRPr="00922C38">
        <w:rPr>
          <w:rFonts w:ascii="Arial" w:hAnsi="Arial" w:cs="Arial"/>
          <w:lang w:val="es-CO"/>
        </w:rPr>
        <w:t xml:space="preserve">mayo de </w:t>
      </w:r>
      <w:r w:rsidRPr="00922C38">
        <w:rPr>
          <w:rFonts w:ascii="Arial" w:hAnsi="Arial" w:cs="Arial"/>
        </w:rPr>
        <w:t>20</w:t>
      </w:r>
      <w:r w:rsidRPr="00922C38">
        <w:rPr>
          <w:rFonts w:ascii="Arial" w:hAnsi="Arial" w:cs="Arial"/>
          <w:lang w:val="es-CO"/>
        </w:rPr>
        <w:t xml:space="preserve">21, </w:t>
      </w:r>
      <w:r w:rsidRPr="00922C38">
        <w:rPr>
          <w:rFonts w:ascii="Arial" w:hAnsi="Arial" w:cs="Arial"/>
        </w:rPr>
        <w:t xml:space="preserve">Radicado </w:t>
      </w:r>
      <w:r w:rsidRPr="00922C38">
        <w:rPr>
          <w:rFonts w:ascii="Arial" w:hAnsi="Arial" w:cs="Arial"/>
          <w:szCs w:val="24"/>
        </w:rPr>
        <w:t>11001-03-06-000-2020-00040-00</w:t>
      </w:r>
    </w:p>
  </w:footnote>
  <w:footnote w:id="42">
    <w:p w:rsidRPr="00922C38" w:rsidR="0098532D" w:rsidP="0098532D" w:rsidRDefault="0098532D" w14:paraId="2AC7FB21" w14:textId="77777777">
      <w:pPr>
        <w:pStyle w:val="Textonotapie"/>
        <w:jc w:val="both"/>
        <w:rPr>
          <w:rFonts w:ascii="Arial" w:hAnsi="Arial" w:cs="Arial"/>
          <w:lang w:val="es-MX"/>
        </w:rPr>
      </w:pPr>
      <w:r w:rsidRPr="00922C38">
        <w:rPr>
          <w:rStyle w:val="Refdenotaalpie"/>
          <w:rFonts w:ascii="Arial" w:hAnsi="Arial" w:cs="Arial" w:eastAsiaTheme="majorEastAsia"/>
          <w:i/>
        </w:rPr>
        <w:footnoteRef/>
      </w:r>
      <w:r w:rsidRPr="00922C38">
        <w:rPr>
          <w:rFonts w:ascii="Arial" w:hAnsi="Arial" w:cs="Arial"/>
          <w:bCs/>
          <w:shd w:val="clear" w:color="auto" w:fill="FFFFFF"/>
        </w:rPr>
        <w:t>Decreto 1296 de 1994</w:t>
      </w:r>
      <w:r w:rsidRPr="00922C38">
        <w:rPr>
          <w:rFonts w:ascii="Arial" w:hAnsi="Arial" w:cs="Arial"/>
        </w:rPr>
        <w:t xml:space="preserve"> </w:t>
      </w:r>
      <w:r w:rsidRPr="00922C38">
        <w:rPr>
          <w:rFonts w:ascii="Arial" w:hAnsi="Arial" w:cs="Arial"/>
          <w:shd w:val="clear" w:color="auto" w:fill="FFFFFF"/>
        </w:rPr>
        <w:t>(junio 22), «por el cual se establece el régimen de los fondos departamentales, distritales y municipales de pensiones públicas.</w:t>
      </w:r>
      <w:r w:rsidRPr="00922C38">
        <w:rPr>
          <w:rFonts w:ascii="Arial" w:hAnsi="Arial" w:cs="Arial"/>
        </w:rPr>
        <w:t>».</w:t>
      </w:r>
    </w:p>
  </w:footnote>
  <w:footnote w:id="43">
    <w:p w:rsidRPr="00922C38" w:rsidR="0098532D" w:rsidP="0098532D" w:rsidRDefault="0098532D" w14:paraId="54F9E8C5" w14:textId="77777777">
      <w:pPr>
        <w:pStyle w:val="Textonotapie"/>
        <w:jc w:val="both"/>
      </w:pPr>
      <w:r w:rsidRPr="00922C38">
        <w:rPr>
          <w:rStyle w:val="Refdenotaalpie"/>
          <w:rFonts w:ascii="Arial" w:hAnsi="Arial" w:cs="Arial" w:eastAsiaTheme="majorEastAsia"/>
        </w:rPr>
        <w:footnoteRef/>
      </w:r>
      <w:r w:rsidRPr="00922C38">
        <w:rPr>
          <w:rFonts w:ascii="Arial" w:hAnsi="Arial" w:cs="Arial"/>
        </w:rPr>
        <w:t xml:space="preserve"> PDF 10, folios 40 a 45, expediente digital.</w:t>
      </w:r>
    </w:p>
  </w:footnote>
  <w:footnote w:id="44">
    <w:p w:rsidRPr="00922C38" w:rsidR="0098532D" w:rsidP="0098532D" w:rsidRDefault="0098532D" w14:paraId="1263A7DC" w14:textId="77777777">
      <w:pPr>
        <w:pStyle w:val="Textonotapie"/>
        <w:jc w:val="both"/>
        <w:rPr>
          <w:rFonts w:ascii="Arial" w:hAnsi="Arial" w:cs="Arial"/>
        </w:rPr>
      </w:pPr>
      <w:r w:rsidRPr="00922C38">
        <w:rPr>
          <w:rStyle w:val="Refdenotaalpie"/>
          <w:rFonts w:ascii="Arial" w:hAnsi="Arial" w:cs="Arial" w:eastAsiaTheme="majorEastAsia"/>
        </w:rPr>
        <w:footnoteRef/>
      </w:r>
      <w:r w:rsidRPr="00922C38">
        <w:rPr>
          <w:rFonts w:ascii="Arial" w:hAnsi="Arial" w:cs="Arial"/>
        </w:rPr>
        <w:t xml:space="preserve"> PDF 10, folio</w:t>
      </w:r>
      <w:r w:rsidRPr="00922C38">
        <w:rPr>
          <w:rFonts w:ascii="Arial" w:hAnsi="Arial" w:cs="Arial"/>
          <w:lang w:val="es-MX"/>
        </w:rPr>
        <w:t xml:space="preserve">s </w:t>
      </w:r>
      <w:r w:rsidRPr="00922C38">
        <w:rPr>
          <w:rFonts w:ascii="Arial" w:hAnsi="Arial" w:cs="Arial"/>
        </w:rPr>
        <w:t>31 y 32, expediente digital.</w:t>
      </w:r>
    </w:p>
  </w:footnote>
  <w:footnote w:id="45">
    <w:p w:rsidRPr="00922C38" w:rsidR="0098532D" w:rsidP="0098532D" w:rsidRDefault="0098532D" w14:paraId="142B51AE"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 xml:space="preserve">La elaboración de la tabla se realizó a partir de la información aportada por Colpensiones y la contenida en los certificados CETIL remitidos por la Oficina de Bonos Pensionales del Ministerio de Hacienda y Crédito Público. </w:t>
      </w:r>
    </w:p>
  </w:footnote>
  <w:footnote w:id="46">
    <w:p w:rsidRPr="00922C38" w:rsidR="0098532D" w:rsidP="0098532D" w:rsidRDefault="0098532D" w14:paraId="5CE940DF"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 xml:space="preserve">Sala de Consulta y Servicio Civil. Decisiones del </w:t>
      </w:r>
      <w:r w:rsidRPr="00922C38">
        <w:rPr>
          <w:rFonts w:ascii="Arial" w:hAnsi="Arial" w:cs="Arial"/>
          <w:shd w:val="clear" w:color="auto" w:fill="FFFFFF"/>
        </w:rPr>
        <w:t>12 de diciembre de 2017</w:t>
      </w:r>
      <w:r w:rsidRPr="00922C38">
        <w:rPr>
          <w:rFonts w:ascii="Arial" w:hAnsi="Arial" w:cs="Arial"/>
          <w:shd w:val="clear" w:color="auto" w:fill="FFFFFF"/>
          <w:lang w:val="es-CO"/>
        </w:rPr>
        <w:t xml:space="preserve"> (</w:t>
      </w:r>
      <w:r w:rsidRPr="00922C38">
        <w:rPr>
          <w:rFonts w:ascii="Arial" w:hAnsi="Arial" w:cs="Arial"/>
          <w:shd w:val="clear" w:color="auto" w:fill="FFFFFF"/>
        </w:rPr>
        <w:t>Radicado n</w:t>
      </w:r>
      <w:r w:rsidRPr="00922C38">
        <w:rPr>
          <w:rFonts w:ascii="Arial" w:hAnsi="Arial" w:cs="Arial"/>
          <w:shd w:val="clear" w:color="auto" w:fill="FFFFFF"/>
          <w:lang w:val="es-CO"/>
        </w:rPr>
        <w:t>úm.</w:t>
      </w:r>
      <w:r w:rsidRPr="00922C38">
        <w:rPr>
          <w:rFonts w:ascii="Arial" w:hAnsi="Arial" w:cs="Arial"/>
          <w:shd w:val="clear" w:color="auto" w:fill="FFFFFF"/>
        </w:rPr>
        <w:t xml:space="preserve"> 11001-03-06-000-2017-00133-00(C)</w:t>
      </w:r>
      <w:r w:rsidRPr="00922C38">
        <w:rPr>
          <w:rFonts w:ascii="Arial" w:hAnsi="Arial" w:cs="Arial"/>
          <w:shd w:val="clear" w:color="auto" w:fill="FFFFFF"/>
          <w:lang w:val="es-CO"/>
        </w:rPr>
        <w:t xml:space="preserve">), </w:t>
      </w:r>
      <w:r w:rsidRPr="00922C38">
        <w:rPr>
          <w:rFonts w:ascii="Arial" w:hAnsi="Arial" w:cs="Arial"/>
          <w:shd w:val="clear" w:color="auto" w:fill="FFFFFF"/>
        </w:rPr>
        <w:t>del 27 de febrero de 2018</w:t>
      </w:r>
      <w:r w:rsidRPr="00922C38">
        <w:rPr>
          <w:rFonts w:ascii="Arial" w:hAnsi="Arial" w:cs="Arial"/>
          <w:shd w:val="clear" w:color="auto" w:fill="FFFFFF"/>
          <w:lang w:val="es-CO"/>
        </w:rPr>
        <w:t xml:space="preserve"> (</w:t>
      </w:r>
      <w:r w:rsidRPr="00922C38">
        <w:rPr>
          <w:rFonts w:ascii="Arial" w:hAnsi="Arial" w:cs="Arial"/>
          <w:shd w:val="clear" w:color="auto" w:fill="FFFFFF"/>
        </w:rPr>
        <w:t>Radicado n</w:t>
      </w:r>
      <w:r w:rsidRPr="00922C38">
        <w:rPr>
          <w:rFonts w:ascii="Arial" w:hAnsi="Arial" w:cs="Arial"/>
          <w:shd w:val="clear" w:color="auto" w:fill="FFFFFF"/>
          <w:lang w:val="es-CO"/>
        </w:rPr>
        <w:t>úm.</w:t>
      </w:r>
      <w:r w:rsidRPr="00922C38">
        <w:rPr>
          <w:rFonts w:ascii="Arial" w:hAnsi="Arial" w:cs="Arial"/>
          <w:shd w:val="clear" w:color="auto" w:fill="FFFFFF"/>
        </w:rPr>
        <w:t xml:space="preserve"> 11001-03-06-000-2017-00169-00</w:t>
      </w:r>
      <w:r w:rsidRPr="00922C38">
        <w:rPr>
          <w:rFonts w:ascii="Arial" w:hAnsi="Arial" w:cs="Arial"/>
          <w:shd w:val="clear" w:color="auto" w:fill="FFFFFF"/>
          <w:lang w:val="es-CO"/>
        </w:rPr>
        <w:t>), y del 9 de diciembre de 2020 (Radicado núm. 11001030600020200019200).</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RDefault="001338AE" w14:paraId="62EEC88E" w14:textId="77777777">
    <w:pPr>
      <w:pStyle w:val="Encabezado"/>
      <w:jc w:val="right"/>
    </w:pPr>
  </w:p>
  <w:p w:rsidRPr="00F31A3D" w:rsidR="001338AE" w:rsidRDefault="001338AE" w14:paraId="1C93E8C0" w14:textId="77777777">
    <w:pPr>
      <w:pStyle w:val="Encabezado"/>
      <w:jc w:val="right"/>
      <w:rPr>
        <w:sz w:val="22"/>
        <w:szCs w:val="22"/>
      </w:rPr>
    </w:pPr>
  </w:p>
  <w:p w:rsidRPr="00F31A3D" w:rsidR="001338AE" w:rsidRDefault="001338AE" w14:paraId="01D2A91C" w14:textId="77777777">
    <w:pPr>
      <w:pStyle w:val="Encabezado"/>
      <w:jc w:val="right"/>
      <w:rPr>
        <w:sz w:val="22"/>
        <w:szCs w:val="22"/>
      </w:rPr>
    </w:pPr>
  </w:p>
  <w:p w:rsidR="001338AE" w:rsidP="009860F8" w:rsidRDefault="001338AE" w14:paraId="37AFCFD7" w14:textId="6007173C">
    <w:pPr>
      <w:pStyle w:val="Encabezado"/>
      <w:tabs>
        <w:tab w:val="right" w:pos="8838"/>
      </w:tabs>
      <w:rPr>
        <w:rFonts w:ascii="Arial" w:hAnsi="Arial" w:cs="Arial"/>
        <w:sz w:val="22"/>
        <w:szCs w:val="22"/>
      </w:rPr>
    </w:pPr>
    <w:r>
      <w:rPr>
        <w:rFonts w:ascii="Arial" w:hAnsi="Arial" w:cs="Arial"/>
        <w:sz w:val="22"/>
        <w:szCs w:val="22"/>
        <w:lang w:val="es-CO"/>
      </w:rPr>
      <w:t>Radicación 110010306000202200</w:t>
    </w:r>
    <w:r w:rsidR="0098532D">
      <w:rPr>
        <w:rFonts w:ascii="Arial" w:hAnsi="Arial" w:cs="Arial"/>
        <w:sz w:val="22"/>
        <w:szCs w:val="22"/>
        <w:lang w:val="es-CO"/>
      </w:rPr>
      <w:t>07</w:t>
    </w:r>
    <w:r w:rsidRPr="00F31A3D">
      <w:rPr>
        <w:rFonts w:ascii="Arial" w:hAnsi="Arial" w:cs="Arial"/>
        <w:sz w:val="22"/>
        <w:szCs w:val="22"/>
        <w:lang w:val="es-CO"/>
      </w:rPr>
      <w:t>1</w:t>
    </w:r>
    <w:sdt>
      <w:sdtPr>
        <w:rPr>
          <w:rFonts w:ascii="Arial" w:hAnsi="Arial" w:cs="Arial"/>
          <w:sz w:val="22"/>
          <w:szCs w:val="22"/>
        </w:rPr>
        <w:id w:val="-1318336367"/>
        <w:docPartObj>
          <w:docPartGallery w:val="Page Numbers (Top of Page)"/>
          <w:docPartUnique/>
        </w:docPartObj>
      </w:sdtPr>
      <w:sdtEndPr/>
      <w:sdtContent>
        <w:r>
          <w:rPr>
            <w:rFonts w:ascii="Arial" w:hAnsi="Arial" w:cs="Arial"/>
            <w:sz w:val="22"/>
            <w:szCs w:val="22"/>
            <w:lang w:val="es-MX"/>
          </w:rPr>
          <w:t>00</w:t>
        </w:r>
        <w:r w:rsidRPr="00F31A3D">
          <w:rPr>
            <w:rFonts w:ascii="Arial" w:hAnsi="Arial" w:cs="Arial"/>
            <w:sz w:val="22"/>
            <w:szCs w:val="22"/>
          </w:rPr>
          <w:tab/>
        </w:r>
        <w:r w:rsidRPr="00F31A3D">
          <w:rPr>
            <w:rFonts w:ascii="Arial" w:hAnsi="Arial" w:cs="Arial"/>
            <w:sz w:val="22"/>
            <w:szCs w:val="22"/>
          </w:rPr>
          <w:tab/>
        </w:r>
        <w:r w:rsidRPr="00F31A3D">
          <w:rPr>
            <w:rFonts w:ascii="Arial" w:hAnsi="Arial" w:cs="Arial"/>
            <w:sz w:val="22"/>
            <w:szCs w:val="22"/>
            <w:lang w:val="es-ES"/>
          </w:rPr>
          <w:t xml:space="preserve">Página </w:t>
        </w:r>
        <w:r w:rsidRPr="00F31A3D">
          <w:rPr>
            <w:rFonts w:ascii="Arial" w:hAnsi="Arial" w:cs="Arial"/>
            <w:b/>
            <w:bCs/>
            <w:sz w:val="22"/>
            <w:szCs w:val="22"/>
          </w:rPr>
          <w:fldChar w:fldCharType="begin"/>
        </w:r>
        <w:r w:rsidRPr="00F31A3D">
          <w:rPr>
            <w:rFonts w:ascii="Arial" w:hAnsi="Arial" w:cs="Arial"/>
            <w:b/>
            <w:bCs/>
            <w:sz w:val="22"/>
            <w:szCs w:val="22"/>
          </w:rPr>
          <w:instrText>PAGE</w:instrText>
        </w:r>
        <w:r w:rsidRPr="00F31A3D">
          <w:rPr>
            <w:rFonts w:ascii="Arial" w:hAnsi="Arial" w:cs="Arial"/>
            <w:b/>
            <w:bCs/>
            <w:sz w:val="22"/>
            <w:szCs w:val="22"/>
          </w:rPr>
          <w:fldChar w:fldCharType="separate"/>
        </w:r>
        <w:r w:rsidR="0098532D">
          <w:rPr>
            <w:rFonts w:ascii="Arial" w:hAnsi="Arial" w:cs="Arial"/>
            <w:b/>
            <w:bCs/>
            <w:noProof/>
            <w:sz w:val="22"/>
            <w:szCs w:val="22"/>
          </w:rPr>
          <w:t>27</w:t>
        </w:r>
        <w:r w:rsidRPr="00F31A3D">
          <w:rPr>
            <w:rFonts w:ascii="Arial" w:hAnsi="Arial" w:cs="Arial"/>
            <w:b/>
            <w:bCs/>
            <w:sz w:val="22"/>
            <w:szCs w:val="22"/>
          </w:rPr>
          <w:fldChar w:fldCharType="end"/>
        </w:r>
        <w:r w:rsidRPr="00F31A3D">
          <w:rPr>
            <w:rFonts w:ascii="Arial" w:hAnsi="Arial" w:cs="Arial"/>
            <w:sz w:val="22"/>
            <w:szCs w:val="22"/>
            <w:lang w:val="es-ES"/>
          </w:rPr>
          <w:t xml:space="preserve"> de </w:t>
        </w:r>
        <w:r w:rsidRPr="00F31A3D">
          <w:rPr>
            <w:rFonts w:ascii="Arial" w:hAnsi="Arial" w:cs="Arial"/>
            <w:b/>
            <w:bCs/>
            <w:sz w:val="22"/>
            <w:szCs w:val="22"/>
          </w:rPr>
          <w:fldChar w:fldCharType="begin"/>
        </w:r>
        <w:r w:rsidRPr="00F31A3D">
          <w:rPr>
            <w:rFonts w:ascii="Arial" w:hAnsi="Arial" w:cs="Arial"/>
            <w:b/>
            <w:bCs/>
            <w:sz w:val="22"/>
            <w:szCs w:val="22"/>
          </w:rPr>
          <w:instrText>NUMPAGES</w:instrText>
        </w:r>
        <w:r w:rsidRPr="00F31A3D">
          <w:rPr>
            <w:rFonts w:ascii="Arial" w:hAnsi="Arial" w:cs="Arial"/>
            <w:b/>
            <w:bCs/>
            <w:sz w:val="22"/>
            <w:szCs w:val="22"/>
          </w:rPr>
          <w:fldChar w:fldCharType="separate"/>
        </w:r>
        <w:r w:rsidR="0098532D">
          <w:rPr>
            <w:rFonts w:ascii="Arial" w:hAnsi="Arial" w:cs="Arial"/>
            <w:b/>
            <w:bCs/>
            <w:noProof/>
            <w:sz w:val="22"/>
            <w:szCs w:val="22"/>
          </w:rPr>
          <w:t>27</w:t>
        </w:r>
        <w:r w:rsidRPr="00F31A3D">
          <w:rPr>
            <w:rFonts w:ascii="Arial" w:hAnsi="Arial" w:cs="Arial"/>
            <w:b/>
            <w:bCs/>
            <w:sz w:val="22"/>
            <w:szCs w:val="22"/>
          </w:rPr>
          <w:fldChar w:fldCharType="end"/>
        </w:r>
      </w:sdtContent>
    </w:sdt>
  </w:p>
  <w:p w:rsidR="001338AE" w:rsidP="009860F8" w:rsidRDefault="001338AE" w14:paraId="22053443" w14:textId="5E1A315C">
    <w:pPr>
      <w:pStyle w:val="Encabezado"/>
      <w:tabs>
        <w:tab w:val="right" w:pos="8838"/>
      </w:tabs>
      <w:rPr>
        <w:rFonts w:ascii="Arial" w:hAnsi="Arial" w:cs="Arial"/>
        <w:sz w:val="22"/>
        <w:szCs w:val="22"/>
      </w:rPr>
    </w:pPr>
  </w:p>
  <w:p w:rsidR="001338AE" w:rsidP="009860F8" w:rsidRDefault="001338AE" w14:paraId="2DE4726F" w14:textId="3E35DACA">
    <w:pPr>
      <w:pStyle w:val="Encabezado"/>
      <w:tabs>
        <w:tab w:val="right" w:pos="8838"/>
      </w:tabs>
      <w:rPr>
        <w:rFonts w:ascii="Arial" w:hAnsi="Arial" w:cs="Arial"/>
        <w:sz w:val="22"/>
        <w:szCs w:val="22"/>
      </w:rPr>
    </w:pPr>
  </w:p>
  <w:p w:rsidRPr="00017C9B" w:rsidR="001338AE" w:rsidP="009860F8" w:rsidRDefault="001338AE" w14:paraId="60E2E432" w14:textId="5CEB82A1">
    <w:pPr>
      <w:pStyle w:val="Encabezado"/>
      <w:tabs>
        <w:tab w:val="right" w:pos="8838"/>
      </w:tabs>
      <w:rPr>
        <w:rFonts w:ascii="Arial" w:hAnsi="Arial" w:cs="Arial"/>
        <w:sz w:val="22"/>
        <w:szCs w:val="22"/>
        <w:lang w:val="es-CO"/>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E65D33" w:rsidR="001338AE" w:rsidP="003541FE" w:rsidRDefault="001338AE" w14:paraId="1B76E4F3" w14:textId="77777777">
    <w:pPr>
      <w:pStyle w:val="Ttulo"/>
      <w:ind w:right="51"/>
      <w:jc w:val="center"/>
      <w:rPr>
        <w:rFonts w:ascii="Arial" w:hAnsi="Arial" w:cs="Arial"/>
        <w:sz w:val="28"/>
        <w:szCs w:val="28"/>
      </w:rPr>
    </w:pPr>
  </w:p>
  <w:p w:rsidR="001338AE" w:rsidP="003541FE" w:rsidRDefault="001338AE" w14:paraId="3B39F9C5" w14:textId="77777777">
    <w:pPr>
      <w:pStyle w:val="Ttulo"/>
      <w:jc w:val="center"/>
      <w:rPr>
        <w:rFonts w:ascii="Arial" w:hAnsi="Arial" w:cs="Arial"/>
        <w:b/>
        <w:sz w:val="28"/>
        <w:szCs w:val="28"/>
      </w:rPr>
    </w:pPr>
  </w:p>
  <w:p w:rsidR="001338AE" w:rsidP="003541FE" w:rsidRDefault="001338AE" w14:paraId="3A2FDCF3" w14:textId="77777777">
    <w:pPr>
      <w:pStyle w:val="Ttulo"/>
      <w:jc w:val="center"/>
      <w:rPr>
        <w:rFonts w:ascii="Arial" w:hAnsi="Arial" w:cs="Arial"/>
        <w:b/>
        <w:sz w:val="28"/>
        <w:szCs w:val="28"/>
      </w:rPr>
    </w:pPr>
  </w:p>
  <w:p w:rsidR="001338AE" w:rsidP="003541FE" w:rsidRDefault="001338AE" w14:paraId="593C1CB5" w14:textId="77777777">
    <w:pPr>
      <w:pStyle w:val="Ttulo"/>
      <w:jc w:val="center"/>
      <w:rPr>
        <w:rFonts w:ascii="Arial" w:hAnsi="Arial" w:cs="Arial"/>
        <w:b/>
        <w:sz w:val="28"/>
        <w:szCs w:val="28"/>
      </w:rPr>
    </w:pPr>
    <w:r w:rsidRPr="00937762">
      <w:rPr>
        <w:rFonts w:ascii="Times New Roman" w:hAnsi="Times New Roman" w:eastAsia="Times New Roman" w:cs="Arial"/>
        <w:b/>
        <w:noProof/>
        <w:spacing w:val="0"/>
        <w:kern w:val="0"/>
        <w:sz w:val="28"/>
        <w:szCs w:val="24"/>
        <w:lang w:val="en-US"/>
      </w:rPr>
      <w:drawing>
        <wp:anchor distT="0" distB="0" distL="114300" distR="114300" simplePos="0" relativeHeight="251659264" behindDoc="0" locked="0" layoutInCell="1" allowOverlap="1" wp14:anchorId="381F1D86" wp14:editId="1CBC5F78">
          <wp:simplePos x="0" y="0"/>
          <wp:positionH relativeFrom="margin">
            <wp:posOffset>120015</wp:posOffset>
          </wp:positionH>
          <wp:positionV relativeFrom="paragraph">
            <wp:posOffset>5715</wp:posOffset>
          </wp:positionV>
          <wp:extent cx="1333500" cy="114681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3500" cy="114681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5B4A70" w:rsidR="001338AE" w:rsidP="003541FE" w:rsidRDefault="001338AE" w14:paraId="72264210" w14:textId="77777777">
    <w:pPr>
      <w:pStyle w:val="Ttulo"/>
      <w:jc w:val="center"/>
      <w:rPr>
        <w:rFonts w:ascii="Arial" w:hAnsi="Arial" w:cs="Arial"/>
        <w:sz w:val="28"/>
        <w:szCs w:val="28"/>
      </w:rPr>
    </w:pPr>
    <w:r w:rsidRPr="00E65D33">
      <w:rPr>
        <w:rFonts w:ascii="Arial" w:hAnsi="Arial" w:cs="Arial"/>
        <w:b/>
        <w:sz w:val="28"/>
        <w:szCs w:val="28"/>
      </w:rPr>
      <w:t>CONSEJO DE ESTADO</w:t>
    </w:r>
  </w:p>
  <w:p w:rsidRPr="00FD2F8A" w:rsidR="001338AE" w:rsidP="003541FE" w:rsidRDefault="001338AE" w14:paraId="40C158BF" w14:textId="77777777">
    <w:pPr>
      <w:pStyle w:val="Ttulo"/>
      <w:tabs>
        <w:tab w:val="left" w:pos="376"/>
        <w:tab w:val="left" w:pos="675"/>
        <w:tab w:val="left" w:pos="1230"/>
      </w:tabs>
      <w:jc w:val="center"/>
      <w:rPr>
        <w:rFonts w:ascii="Arial" w:hAnsi="Arial" w:cs="Arial"/>
        <w:b/>
        <w:sz w:val="28"/>
        <w:szCs w:val="28"/>
      </w:rPr>
    </w:pPr>
    <w:r>
      <w:rPr>
        <w:rFonts w:ascii="Arial" w:hAnsi="Arial" w:cs="Arial"/>
        <w:b/>
        <w:sz w:val="28"/>
        <w:szCs w:val="28"/>
      </w:rPr>
      <w:tab/>
    </w:r>
    <w:r>
      <w:rPr>
        <w:rFonts w:ascii="Arial" w:hAnsi="Arial" w:cs="Arial"/>
        <w:b/>
        <w:sz w:val="28"/>
        <w:szCs w:val="28"/>
      </w:rPr>
      <w:tab/>
    </w:r>
    <w:r>
      <w:rPr>
        <w:rFonts w:ascii="Arial" w:hAnsi="Arial" w:cs="Arial"/>
        <w:b/>
        <w:sz w:val="28"/>
        <w:szCs w:val="28"/>
      </w:rPr>
      <w:tab/>
    </w:r>
  </w:p>
  <w:p w:rsidR="001338AE" w:rsidP="003541FE" w:rsidRDefault="001338AE" w14:paraId="547677D2" w14:textId="77777777">
    <w:pPr>
      <w:jc w:val="center"/>
      <w:rPr>
        <w:rFonts w:cs="Arial"/>
        <w:b/>
        <w:bCs/>
      </w:rPr>
    </w:pPr>
    <w:r w:rsidRPr="00E65D33">
      <w:rPr>
        <w:rFonts w:cs="Arial"/>
        <w:b/>
        <w:bCs/>
      </w:rPr>
      <w:t>SALA DE CONSULTA Y SERVICIO CIV</w:t>
    </w:r>
    <w:r>
      <w:rPr>
        <w:rFonts w:cs="Arial"/>
        <w:b/>
        <w:bCs/>
      </w:rPr>
      <w:t>IL</w:t>
    </w:r>
  </w:p>
  <w:p w:rsidRPr="00B07845" w:rsidR="001338AE" w:rsidP="003541FE" w:rsidRDefault="001338AE" w14:paraId="5FDF845C" w14:textId="48D879DB">
    <w:pPr>
      <w:jc w:val="center"/>
      <w:rPr>
        <w:rFonts w:cs="Arial"/>
        <w:b/>
        <w:bCs/>
        <w:sz w:val="22"/>
      </w:rPr>
    </w:pPr>
    <w:r w:rsidRPr="00B07845">
      <w:rPr>
        <w:rFonts w:cs="Arial"/>
        <w:bCs/>
        <w:sz w:val="22"/>
      </w:rPr>
      <w:t>Consejer</w:t>
    </w:r>
    <w:r>
      <w:rPr>
        <w:rFonts w:cs="Arial"/>
        <w:bCs/>
        <w:sz w:val="22"/>
      </w:rPr>
      <w:t>a</w:t>
    </w:r>
    <w:r w:rsidRPr="00B07845">
      <w:rPr>
        <w:rFonts w:cs="Arial"/>
        <w:bCs/>
        <w:sz w:val="22"/>
      </w:rPr>
      <w:t xml:space="preserve"> ponente: </w:t>
    </w:r>
    <w:r>
      <w:rPr>
        <w:rFonts w:cs="Arial"/>
        <w:bCs/>
        <w:sz w:val="22"/>
      </w:rPr>
      <w:t>María del Pilar Bahamón Falla</w:t>
    </w:r>
    <w:r w:rsidRPr="00E7463F">
      <w:rPr>
        <w:rFonts w:cs="Arial"/>
        <w:b/>
        <w:bCs/>
        <w:sz w:val="22"/>
      </w:rPr>
      <w:t xml:space="preserve">   </w:t>
    </w:r>
  </w:p>
  <w:p w:rsidRPr="00366CFE" w:rsidR="001338AE" w:rsidP="003541FE" w:rsidRDefault="001338AE" w14:paraId="1CE5ABCB" w14:textId="77777777">
    <w:pPr>
      <w:pStyle w:val="Encabezado"/>
      <w:pBdr>
        <w:bottom w:val="thickThinSmallGap" w:color="622423" w:sz="24" w:space="0"/>
      </w:pBdr>
      <w:jc w:val="center"/>
      <w:rPr>
        <w:rStyle w:val="Referenciasutil"/>
        <w:lang w:val="es-CO"/>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C5E7A"/>
    <w:multiLevelType w:val="hybridMultilevel"/>
    <w:tmpl w:val="6B02B5DE"/>
    <w:lvl w:ilvl="0" w:tplc="240A000F">
      <w:start w:val="1"/>
      <w:numFmt w:val="decimal"/>
      <w:lvlText w:val="%1."/>
      <w:lvlJc w:val="left"/>
      <w:pPr>
        <w:ind w:left="720" w:hanging="360"/>
      </w:pPr>
    </w:lvl>
    <w:lvl w:ilvl="1" w:tplc="639E177A">
      <w:start w:val="1"/>
      <w:numFmt w:val="lowerLetter"/>
      <w:lvlText w:val="%2."/>
      <w:lvlJc w:val="left"/>
      <w:pPr>
        <w:ind w:left="1440" w:hanging="360"/>
      </w:pPr>
    </w:lvl>
    <w:lvl w:ilvl="2" w:tplc="A39ABA32">
      <w:start w:val="1"/>
      <w:numFmt w:val="lowerRoman"/>
      <w:lvlText w:val="%3)"/>
      <w:lvlJc w:val="left"/>
      <w:pPr>
        <w:ind w:left="2700" w:hanging="720"/>
      </w:pPr>
      <w:rPr>
        <w:i/>
        <w:iCs/>
      </w:r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 w15:restartNumberingAfterBreak="0">
    <w:nsid w:val="026805BD"/>
    <w:multiLevelType w:val="multilevel"/>
    <w:tmpl w:val="8AA421EC"/>
    <w:lvl w:ilvl="0">
      <w:start w:val="1"/>
      <w:numFmt w:val="upperRoman"/>
      <w:lvlText w:val="%1."/>
      <w:lvlJc w:val="left"/>
      <w:pPr>
        <w:ind w:left="1080" w:hanging="720"/>
      </w:pPr>
      <w:rPr>
        <w:rFonts w:hint="default"/>
        <w:lang w:val="es-MX"/>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E050A52"/>
    <w:multiLevelType w:val="hybridMultilevel"/>
    <w:tmpl w:val="914CA304"/>
    <w:lvl w:ilvl="0" w:tplc="773A6A8E">
      <w:start w:val="1"/>
      <w:numFmt w:val="decimal"/>
      <w:lvlText w:val="%1."/>
      <w:lvlJc w:val="left"/>
      <w:pPr>
        <w:ind w:left="720" w:hanging="360"/>
      </w:pPr>
      <w:rPr>
        <w:rFonts w:hint="default" w:ascii="Arial" w:hAnsi="Arial" w:cs="Arial"/>
        <w:b/>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0921A7"/>
    <w:multiLevelType w:val="hybridMultilevel"/>
    <w:tmpl w:val="B8226F56"/>
    <w:lvl w:ilvl="0" w:tplc="905CC1A0">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53A79CD"/>
    <w:multiLevelType w:val="multilevel"/>
    <w:tmpl w:val="16AC480C"/>
    <w:lvl w:ilvl="0">
      <w:start w:val="8"/>
      <w:numFmt w:val="decimal"/>
      <w:lvlText w:val="%1."/>
      <w:lvlJc w:val="left"/>
      <w:pPr>
        <w:ind w:left="408" w:hanging="408"/>
      </w:pPr>
      <w:rPr>
        <w:rFonts w:hint="default"/>
      </w:rPr>
    </w:lvl>
    <w:lvl w:ilvl="1">
      <w:start w:val="1"/>
      <w:numFmt w:val="decimal"/>
      <w:lvlText w:val="%1.%2."/>
      <w:lvlJc w:val="left"/>
      <w:pPr>
        <w:ind w:left="1128" w:hanging="720"/>
      </w:pPr>
      <w:rPr>
        <w:rFonts w:hint="default" w:ascii="Arial" w:hAnsi="Arial" w:cs="Arial"/>
        <w:sz w:val="24"/>
        <w:szCs w:val="24"/>
      </w:rPr>
    </w:lvl>
    <w:lvl w:ilvl="2">
      <w:start w:val="1"/>
      <w:numFmt w:val="decimal"/>
      <w:lvlText w:val="%1.%2.%3."/>
      <w:lvlJc w:val="left"/>
      <w:pPr>
        <w:ind w:left="1536" w:hanging="720"/>
      </w:pPr>
      <w:rPr>
        <w:rFonts w:hint="default"/>
      </w:rPr>
    </w:lvl>
    <w:lvl w:ilvl="3">
      <w:start w:val="1"/>
      <w:numFmt w:val="decimal"/>
      <w:lvlText w:val="%1.%2.%3.%4."/>
      <w:lvlJc w:val="left"/>
      <w:pPr>
        <w:ind w:left="2304" w:hanging="1080"/>
      </w:pPr>
      <w:rPr>
        <w:rFonts w:hint="default"/>
      </w:rPr>
    </w:lvl>
    <w:lvl w:ilvl="4">
      <w:start w:val="1"/>
      <w:numFmt w:val="decimal"/>
      <w:lvlText w:val="%1.%2.%3.%4.%5."/>
      <w:lvlJc w:val="left"/>
      <w:pPr>
        <w:ind w:left="2712" w:hanging="1080"/>
      </w:pPr>
      <w:rPr>
        <w:rFonts w:hint="default"/>
      </w:rPr>
    </w:lvl>
    <w:lvl w:ilvl="5">
      <w:start w:val="1"/>
      <w:numFmt w:val="decimal"/>
      <w:lvlText w:val="%1.%2.%3.%4.%5.%6."/>
      <w:lvlJc w:val="left"/>
      <w:pPr>
        <w:ind w:left="3480" w:hanging="1440"/>
      </w:pPr>
      <w:rPr>
        <w:rFonts w:hint="default"/>
      </w:rPr>
    </w:lvl>
    <w:lvl w:ilvl="6">
      <w:start w:val="1"/>
      <w:numFmt w:val="decimal"/>
      <w:lvlText w:val="%1.%2.%3.%4.%5.%6.%7."/>
      <w:lvlJc w:val="left"/>
      <w:pPr>
        <w:ind w:left="3888" w:hanging="1440"/>
      </w:pPr>
      <w:rPr>
        <w:rFonts w:hint="default"/>
      </w:rPr>
    </w:lvl>
    <w:lvl w:ilvl="7">
      <w:start w:val="1"/>
      <w:numFmt w:val="decimal"/>
      <w:lvlText w:val="%1.%2.%3.%4.%5.%6.%7.%8."/>
      <w:lvlJc w:val="left"/>
      <w:pPr>
        <w:ind w:left="4656" w:hanging="1800"/>
      </w:pPr>
      <w:rPr>
        <w:rFonts w:hint="default"/>
      </w:rPr>
    </w:lvl>
    <w:lvl w:ilvl="8">
      <w:start w:val="1"/>
      <w:numFmt w:val="decimal"/>
      <w:lvlText w:val="%1.%2.%3.%4.%5.%6.%7.%8.%9."/>
      <w:lvlJc w:val="left"/>
      <w:pPr>
        <w:ind w:left="5424" w:hanging="2160"/>
      </w:pPr>
      <w:rPr>
        <w:rFonts w:hint="default"/>
      </w:rPr>
    </w:lvl>
  </w:abstractNum>
  <w:abstractNum w:abstractNumId="5" w15:restartNumberingAfterBreak="0">
    <w:nsid w:val="1E5725E0"/>
    <w:multiLevelType w:val="multilevel"/>
    <w:tmpl w:val="5EAC4726"/>
    <w:lvl w:ilvl="0">
      <w:start w:val="3"/>
      <w:numFmt w:val="decimal"/>
      <w:lvlText w:val="%1."/>
      <w:lvlJc w:val="left"/>
      <w:pPr>
        <w:ind w:left="705" w:hanging="705"/>
      </w:pPr>
      <w:rPr>
        <w:rFonts w:hint="default" w:ascii="Arial" w:hAnsi="Arial" w:cs="Arial"/>
        <w:b/>
        <w:bCs/>
        <w:sz w:val="24"/>
        <w:szCs w:val="24"/>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25D351DC"/>
    <w:multiLevelType w:val="multilevel"/>
    <w:tmpl w:val="50A643F4"/>
    <w:lvl w:ilvl="0">
      <w:start w:val="8"/>
      <w:numFmt w:val="decimal"/>
      <w:lvlText w:val="%1."/>
      <w:lvlJc w:val="left"/>
      <w:pPr>
        <w:ind w:left="408" w:hanging="408"/>
      </w:pPr>
      <w:rPr>
        <w:rFonts w:hint="default"/>
      </w:rPr>
    </w:lvl>
    <w:lvl w:ilvl="1">
      <w:start w:val="4"/>
      <w:numFmt w:val="decimal"/>
      <w:lvlText w:val="%1.%2."/>
      <w:lvlJc w:val="left"/>
      <w:pPr>
        <w:ind w:left="1128" w:hanging="720"/>
      </w:pPr>
      <w:rPr>
        <w:rFonts w:hint="default"/>
      </w:rPr>
    </w:lvl>
    <w:lvl w:ilvl="2">
      <w:start w:val="1"/>
      <w:numFmt w:val="decimal"/>
      <w:lvlText w:val="%1.%2.%3."/>
      <w:lvlJc w:val="left"/>
      <w:pPr>
        <w:ind w:left="1536" w:hanging="720"/>
      </w:pPr>
      <w:rPr>
        <w:rFonts w:hint="default"/>
      </w:rPr>
    </w:lvl>
    <w:lvl w:ilvl="3">
      <w:start w:val="1"/>
      <w:numFmt w:val="decimal"/>
      <w:lvlText w:val="%1.%2.%3.%4."/>
      <w:lvlJc w:val="left"/>
      <w:pPr>
        <w:ind w:left="2304" w:hanging="1080"/>
      </w:pPr>
      <w:rPr>
        <w:rFonts w:hint="default"/>
      </w:rPr>
    </w:lvl>
    <w:lvl w:ilvl="4">
      <w:start w:val="1"/>
      <w:numFmt w:val="decimal"/>
      <w:lvlText w:val="%1.%2.%3.%4.%5."/>
      <w:lvlJc w:val="left"/>
      <w:pPr>
        <w:ind w:left="2712" w:hanging="1080"/>
      </w:pPr>
      <w:rPr>
        <w:rFonts w:hint="default"/>
      </w:rPr>
    </w:lvl>
    <w:lvl w:ilvl="5">
      <w:start w:val="1"/>
      <w:numFmt w:val="decimal"/>
      <w:lvlText w:val="%1.%2.%3.%4.%5.%6."/>
      <w:lvlJc w:val="left"/>
      <w:pPr>
        <w:ind w:left="3480" w:hanging="1440"/>
      </w:pPr>
      <w:rPr>
        <w:rFonts w:hint="default"/>
      </w:rPr>
    </w:lvl>
    <w:lvl w:ilvl="6">
      <w:start w:val="1"/>
      <w:numFmt w:val="decimal"/>
      <w:lvlText w:val="%1.%2.%3.%4.%5.%6.%7."/>
      <w:lvlJc w:val="left"/>
      <w:pPr>
        <w:ind w:left="3888" w:hanging="1440"/>
      </w:pPr>
      <w:rPr>
        <w:rFonts w:hint="default"/>
      </w:rPr>
    </w:lvl>
    <w:lvl w:ilvl="7">
      <w:start w:val="1"/>
      <w:numFmt w:val="decimal"/>
      <w:lvlText w:val="%1.%2.%3.%4.%5.%6.%7.%8."/>
      <w:lvlJc w:val="left"/>
      <w:pPr>
        <w:ind w:left="4656" w:hanging="1800"/>
      </w:pPr>
      <w:rPr>
        <w:rFonts w:hint="default"/>
      </w:rPr>
    </w:lvl>
    <w:lvl w:ilvl="8">
      <w:start w:val="1"/>
      <w:numFmt w:val="decimal"/>
      <w:lvlText w:val="%1.%2.%3.%4.%5.%6.%7.%8.%9."/>
      <w:lvlJc w:val="left"/>
      <w:pPr>
        <w:ind w:left="5424" w:hanging="2160"/>
      </w:pPr>
      <w:rPr>
        <w:rFonts w:hint="default"/>
      </w:rPr>
    </w:lvl>
  </w:abstractNum>
  <w:abstractNum w:abstractNumId="7" w15:restartNumberingAfterBreak="0">
    <w:nsid w:val="29850C34"/>
    <w:multiLevelType w:val="hybridMultilevel"/>
    <w:tmpl w:val="FE8E58D2"/>
    <w:lvl w:ilvl="0" w:tplc="5BD2FD46">
      <w:start w:val="7"/>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37AA2EE2"/>
    <w:multiLevelType w:val="hybridMultilevel"/>
    <w:tmpl w:val="266A1CB6"/>
    <w:lvl w:ilvl="0" w:tplc="EC5E9344">
      <w:start w:val="1"/>
      <w:numFmt w:val="lowerRoman"/>
      <w:lvlText w:val="%1)"/>
      <w:lvlJc w:val="left"/>
      <w:pPr>
        <w:ind w:left="1080" w:hanging="720"/>
      </w:pPr>
      <w:rPr>
        <w:rFonts w:hint="default"/>
        <w: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D081E00"/>
    <w:multiLevelType w:val="hybridMultilevel"/>
    <w:tmpl w:val="00FAEE22"/>
    <w:lvl w:ilvl="0" w:tplc="1ECE307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F4750C2"/>
    <w:multiLevelType w:val="hybridMultilevel"/>
    <w:tmpl w:val="2A60EC62"/>
    <w:lvl w:ilvl="0" w:tplc="0962653A">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503C44D5"/>
    <w:multiLevelType w:val="hybridMultilevel"/>
    <w:tmpl w:val="5532B2BA"/>
    <w:lvl w:ilvl="0" w:tplc="1B04D49C">
      <w:start w:val="1"/>
      <w:numFmt w:val="lowerLetter"/>
      <w:lvlText w:val="%1)"/>
      <w:lvlJc w:val="left"/>
      <w:pPr>
        <w:ind w:left="720" w:hanging="360"/>
      </w:pPr>
      <w:rPr>
        <w:rFonts w:hint="default"/>
        <w:b w:val="0"/>
        <w:bCs/>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52914A4C"/>
    <w:multiLevelType w:val="hybridMultilevel"/>
    <w:tmpl w:val="2CC4B1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62EF3"/>
    <w:multiLevelType w:val="hybridMultilevel"/>
    <w:tmpl w:val="CF0A28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AC32F5"/>
    <w:multiLevelType w:val="hybridMultilevel"/>
    <w:tmpl w:val="09EE2EE8"/>
    <w:lvl w:ilvl="0" w:tplc="988CD562">
      <w:start w:val="1"/>
      <w:numFmt w:val="lowerLetter"/>
      <w:lvlText w:val="%1."/>
      <w:lvlJc w:val="left"/>
      <w:pPr>
        <w:ind w:left="1070" w:hanging="360"/>
      </w:pPr>
      <w:rPr>
        <w:b/>
        <w:bCs/>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5" w15:restartNumberingAfterBreak="0">
    <w:nsid w:val="6A7E4293"/>
    <w:multiLevelType w:val="multilevel"/>
    <w:tmpl w:val="F420EF3A"/>
    <w:lvl w:ilvl="0">
      <w:start w:val="3"/>
      <w:numFmt w:val="decimal"/>
      <w:lvlText w:val="%1."/>
      <w:lvlJc w:val="left"/>
      <w:pPr>
        <w:ind w:left="400" w:hanging="400"/>
      </w:pPr>
    </w:lvl>
    <w:lvl w:ilvl="1">
      <w:start w:val="1"/>
      <w:numFmt w:val="decimal"/>
      <w:lvlText w:val="%1.%2."/>
      <w:lvlJc w:val="left"/>
      <w:pPr>
        <w:ind w:left="720" w:hanging="720"/>
      </w:pPr>
      <w:rPr>
        <w:b/>
        <w:bCs/>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6" w15:restartNumberingAfterBreak="0">
    <w:nsid w:val="6C95647E"/>
    <w:multiLevelType w:val="hybridMultilevel"/>
    <w:tmpl w:val="0AEEB79A"/>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72FA4180"/>
    <w:multiLevelType w:val="hybridMultilevel"/>
    <w:tmpl w:val="23421634"/>
    <w:lvl w:ilvl="0" w:tplc="F68032B2">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261EFD"/>
    <w:multiLevelType w:val="hybridMultilevel"/>
    <w:tmpl w:val="FEA4618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7A0F51BC"/>
    <w:multiLevelType w:val="hybridMultilevel"/>
    <w:tmpl w:val="DDD24E42"/>
    <w:lvl w:ilvl="0" w:tplc="4D6443A0">
      <w:start w:val="1"/>
      <w:numFmt w:val="decimal"/>
      <w:lvlText w:val="%1)"/>
      <w:lvlJc w:val="left"/>
      <w:pPr>
        <w:ind w:left="6314" w:hanging="360"/>
      </w:pPr>
      <w:rPr>
        <w:rFonts w:hint="default"/>
      </w:rPr>
    </w:lvl>
    <w:lvl w:ilvl="1" w:tplc="080A0019" w:tentative="1">
      <w:start w:val="1"/>
      <w:numFmt w:val="lowerLetter"/>
      <w:lvlText w:val="%2."/>
      <w:lvlJc w:val="left"/>
      <w:pPr>
        <w:ind w:left="7034" w:hanging="360"/>
      </w:pPr>
    </w:lvl>
    <w:lvl w:ilvl="2" w:tplc="080A001B" w:tentative="1">
      <w:start w:val="1"/>
      <w:numFmt w:val="lowerRoman"/>
      <w:lvlText w:val="%3."/>
      <w:lvlJc w:val="right"/>
      <w:pPr>
        <w:ind w:left="7754" w:hanging="180"/>
      </w:pPr>
    </w:lvl>
    <w:lvl w:ilvl="3" w:tplc="080A000F" w:tentative="1">
      <w:start w:val="1"/>
      <w:numFmt w:val="decimal"/>
      <w:lvlText w:val="%4."/>
      <w:lvlJc w:val="left"/>
      <w:pPr>
        <w:ind w:left="8474" w:hanging="360"/>
      </w:pPr>
    </w:lvl>
    <w:lvl w:ilvl="4" w:tplc="080A0019" w:tentative="1">
      <w:start w:val="1"/>
      <w:numFmt w:val="lowerLetter"/>
      <w:lvlText w:val="%5."/>
      <w:lvlJc w:val="left"/>
      <w:pPr>
        <w:ind w:left="9194" w:hanging="360"/>
      </w:pPr>
    </w:lvl>
    <w:lvl w:ilvl="5" w:tplc="080A001B" w:tentative="1">
      <w:start w:val="1"/>
      <w:numFmt w:val="lowerRoman"/>
      <w:lvlText w:val="%6."/>
      <w:lvlJc w:val="right"/>
      <w:pPr>
        <w:ind w:left="9914" w:hanging="180"/>
      </w:pPr>
    </w:lvl>
    <w:lvl w:ilvl="6" w:tplc="080A000F" w:tentative="1">
      <w:start w:val="1"/>
      <w:numFmt w:val="decimal"/>
      <w:lvlText w:val="%7."/>
      <w:lvlJc w:val="left"/>
      <w:pPr>
        <w:ind w:left="10634" w:hanging="360"/>
      </w:pPr>
    </w:lvl>
    <w:lvl w:ilvl="7" w:tplc="080A0019" w:tentative="1">
      <w:start w:val="1"/>
      <w:numFmt w:val="lowerLetter"/>
      <w:lvlText w:val="%8."/>
      <w:lvlJc w:val="left"/>
      <w:pPr>
        <w:ind w:left="11354" w:hanging="360"/>
      </w:pPr>
    </w:lvl>
    <w:lvl w:ilvl="8" w:tplc="080A001B" w:tentative="1">
      <w:start w:val="1"/>
      <w:numFmt w:val="lowerRoman"/>
      <w:lvlText w:val="%9."/>
      <w:lvlJc w:val="right"/>
      <w:pPr>
        <w:ind w:left="12074" w:hanging="180"/>
      </w:pPr>
    </w:lvl>
  </w:abstractNum>
  <w:abstractNum w:abstractNumId="20" w15:restartNumberingAfterBreak="0">
    <w:nsid w:val="7AE87C86"/>
    <w:multiLevelType w:val="hybridMultilevel"/>
    <w:tmpl w:val="34ECA864"/>
    <w:lvl w:ilvl="0" w:tplc="9D565832">
      <w:start w:val="1"/>
      <w:numFmt w:val="lowerRoman"/>
      <w:lvlText w:val="%1)"/>
      <w:lvlJc w:val="left"/>
      <w:pPr>
        <w:ind w:left="1068" w:hanging="360"/>
      </w:pPr>
      <w:rPr>
        <w:i/>
        <w:iCs/>
      </w:rPr>
    </w:lvl>
    <w:lvl w:ilvl="1" w:tplc="040A0019">
      <w:start w:val="1"/>
      <w:numFmt w:val="lowerLetter"/>
      <w:lvlText w:val="%2."/>
      <w:lvlJc w:val="left"/>
      <w:pPr>
        <w:ind w:left="168" w:hanging="360"/>
      </w:pPr>
    </w:lvl>
    <w:lvl w:ilvl="2" w:tplc="040A001B">
      <w:start w:val="1"/>
      <w:numFmt w:val="lowerRoman"/>
      <w:lvlText w:val="%3."/>
      <w:lvlJc w:val="right"/>
      <w:pPr>
        <w:ind w:left="888" w:hanging="180"/>
      </w:pPr>
    </w:lvl>
    <w:lvl w:ilvl="3" w:tplc="040A000F">
      <w:start w:val="1"/>
      <w:numFmt w:val="decimal"/>
      <w:lvlText w:val="%4."/>
      <w:lvlJc w:val="left"/>
      <w:pPr>
        <w:ind w:left="1608" w:hanging="360"/>
      </w:pPr>
    </w:lvl>
    <w:lvl w:ilvl="4" w:tplc="040A0019">
      <w:start w:val="1"/>
      <w:numFmt w:val="lowerLetter"/>
      <w:lvlText w:val="%5."/>
      <w:lvlJc w:val="left"/>
      <w:pPr>
        <w:ind w:left="2328" w:hanging="360"/>
      </w:pPr>
    </w:lvl>
    <w:lvl w:ilvl="5" w:tplc="040A001B">
      <w:start w:val="1"/>
      <w:numFmt w:val="lowerRoman"/>
      <w:lvlText w:val="%6."/>
      <w:lvlJc w:val="right"/>
      <w:pPr>
        <w:ind w:left="3048" w:hanging="180"/>
      </w:pPr>
    </w:lvl>
    <w:lvl w:ilvl="6" w:tplc="040A000F">
      <w:start w:val="1"/>
      <w:numFmt w:val="decimal"/>
      <w:lvlText w:val="%7."/>
      <w:lvlJc w:val="left"/>
      <w:pPr>
        <w:ind w:left="3768" w:hanging="360"/>
      </w:pPr>
    </w:lvl>
    <w:lvl w:ilvl="7" w:tplc="040A0019">
      <w:start w:val="1"/>
      <w:numFmt w:val="lowerLetter"/>
      <w:lvlText w:val="%8."/>
      <w:lvlJc w:val="left"/>
      <w:pPr>
        <w:ind w:left="4488" w:hanging="360"/>
      </w:pPr>
    </w:lvl>
    <w:lvl w:ilvl="8" w:tplc="040A001B">
      <w:start w:val="1"/>
      <w:numFmt w:val="lowerRoman"/>
      <w:lvlText w:val="%9."/>
      <w:lvlJc w:val="right"/>
      <w:pPr>
        <w:ind w:left="5208"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4"/>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5"/>
  </w:num>
  <w:num w:numId="6">
    <w:abstractNumId w:val="2"/>
  </w:num>
  <w:num w:numId="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num>
  <w:num w:numId="9">
    <w:abstractNumId w:val="4"/>
  </w:num>
  <w:num w:numId="10">
    <w:abstractNumId w:val="6"/>
  </w:num>
  <w:num w:numId="11">
    <w:abstractNumId w:val="3"/>
  </w:num>
  <w:num w:numId="12">
    <w:abstractNumId w:val="12"/>
  </w:num>
  <w:num w:numId="13">
    <w:abstractNumId w:val="9"/>
  </w:num>
  <w:num w:numId="14">
    <w:abstractNumId w:val="0"/>
  </w:num>
  <w:num w:numId="15">
    <w:abstractNumId w:val="16"/>
  </w:num>
  <w:num w:numId="16">
    <w:abstractNumId w:val="10"/>
  </w:num>
  <w:num w:numId="17">
    <w:abstractNumId w:val="19"/>
  </w:num>
  <w:num w:numId="18">
    <w:abstractNumId w:val="1"/>
  </w:num>
  <w:num w:numId="19">
    <w:abstractNumId w:val="5"/>
  </w:num>
  <w:num w:numId="20">
    <w:abstractNumId w:val="11"/>
  </w:num>
  <w:num w:numId="21">
    <w:abstractNumId w:val="13"/>
  </w:num>
  <w:num w:numId="22">
    <w:abstractNumId w:val="17"/>
  </w:num>
  <w:num w:numId="23">
    <w:abstractNumId w:val="18"/>
  </w:num>
  <w:numIdMacAtCleanup w:val="10"/>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35"/>
  <w:trackRevisions w:val="false"/>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6989"/>
    <w:rsid w:val="000016DC"/>
    <w:rsid w:val="0000321D"/>
    <w:rsid w:val="000042F2"/>
    <w:rsid w:val="00005C01"/>
    <w:rsid w:val="00005C47"/>
    <w:rsid w:val="000075BC"/>
    <w:rsid w:val="000110A3"/>
    <w:rsid w:val="0001356E"/>
    <w:rsid w:val="00014330"/>
    <w:rsid w:val="0001496A"/>
    <w:rsid w:val="00014F0E"/>
    <w:rsid w:val="00016E63"/>
    <w:rsid w:val="00016F9F"/>
    <w:rsid w:val="00017C9B"/>
    <w:rsid w:val="00021EDD"/>
    <w:rsid w:val="000220F9"/>
    <w:rsid w:val="00023D7D"/>
    <w:rsid w:val="000240D7"/>
    <w:rsid w:val="00024A7A"/>
    <w:rsid w:val="00025FB0"/>
    <w:rsid w:val="0002699D"/>
    <w:rsid w:val="00026B63"/>
    <w:rsid w:val="00031622"/>
    <w:rsid w:val="00034373"/>
    <w:rsid w:val="000353A4"/>
    <w:rsid w:val="000360C0"/>
    <w:rsid w:val="00040F5B"/>
    <w:rsid w:val="000453D6"/>
    <w:rsid w:val="00045C74"/>
    <w:rsid w:val="00046A31"/>
    <w:rsid w:val="00051B10"/>
    <w:rsid w:val="00056D84"/>
    <w:rsid w:val="00057AE1"/>
    <w:rsid w:val="000634BF"/>
    <w:rsid w:val="00064232"/>
    <w:rsid w:val="0006556C"/>
    <w:rsid w:val="00066C9C"/>
    <w:rsid w:val="000709F5"/>
    <w:rsid w:val="0007312D"/>
    <w:rsid w:val="00075212"/>
    <w:rsid w:val="0007624E"/>
    <w:rsid w:val="00084229"/>
    <w:rsid w:val="000858C2"/>
    <w:rsid w:val="00085E06"/>
    <w:rsid w:val="00086CDD"/>
    <w:rsid w:val="000875DB"/>
    <w:rsid w:val="0009064A"/>
    <w:rsid w:val="00090EC1"/>
    <w:rsid w:val="000939D1"/>
    <w:rsid w:val="00094E2E"/>
    <w:rsid w:val="0009692A"/>
    <w:rsid w:val="000A234A"/>
    <w:rsid w:val="000A2630"/>
    <w:rsid w:val="000A3560"/>
    <w:rsid w:val="000A383A"/>
    <w:rsid w:val="000A46F3"/>
    <w:rsid w:val="000A6F55"/>
    <w:rsid w:val="000B5B68"/>
    <w:rsid w:val="000B5D27"/>
    <w:rsid w:val="000B7756"/>
    <w:rsid w:val="000B79B1"/>
    <w:rsid w:val="000C1B5B"/>
    <w:rsid w:val="000C1D89"/>
    <w:rsid w:val="000C3FF8"/>
    <w:rsid w:val="000C45DE"/>
    <w:rsid w:val="000C79AB"/>
    <w:rsid w:val="000D0FE3"/>
    <w:rsid w:val="000D1876"/>
    <w:rsid w:val="000D42B7"/>
    <w:rsid w:val="000D479A"/>
    <w:rsid w:val="000D500D"/>
    <w:rsid w:val="000D634F"/>
    <w:rsid w:val="000D7A78"/>
    <w:rsid w:val="000E0E84"/>
    <w:rsid w:val="000E40D8"/>
    <w:rsid w:val="000E455D"/>
    <w:rsid w:val="000F21D2"/>
    <w:rsid w:val="000F2B77"/>
    <w:rsid w:val="000F3034"/>
    <w:rsid w:val="000F410B"/>
    <w:rsid w:val="000F6587"/>
    <w:rsid w:val="000F711E"/>
    <w:rsid w:val="00106795"/>
    <w:rsid w:val="00107080"/>
    <w:rsid w:val="001109D5"/>
    <w:rsid w:val="00110A21"/>
    <w:rsid w:val="00110E84"/>
    <w:rsid w:val="0011314A"/>
    <w:rsid w:val="00114A90"/>
    <w:rsid w:val="001176B9"/>
    <w:rsid w:val="00120514"/>
    <w:rsid w:val="00122B16"/>
    <w:rsid w:val="00123A60"/>
    <w:rsid w:val="00123B34"/>
    <w:rsid w:val="00132A21"/>
    <w:rsid w:val="00132B0B"/>
    <w:rsid w:val="001338AE"/>
    <w:rsid w:val="00133993"/>
    <w:rsid w:val="001348F7"/>
    <w:rsid w:val="0013578A"/>
    <w:rsid w:val="0013583E"/>
    <w:rsid w:val="00135C75"/>
    <w:rsid w:val="001368A5"/>
    <w:rsid w:val="001450FD"/>
    <w:rsid w:val="001464DE"/>
    <w:rsid w:val="00151FED"/>
    <w:rsid w:val="001520AF"/>
    <w:rsid w:val="00154D6F"/>
    <w:rsid w:val="00154EB5"/>
    <w:rsid w:val="00160C42"/>
    <w:rsid w:val="0016469F"/>
    <w:rsid w:val="001668FF"/>
    <w:rsid w:val="00167D69"/>
    <w:rsid w:val="00170B89"/>
    <w:rsid w:val="00171C92"/>
    <w:rsid w:val="00172F22"/>
    <w:rsid w:val="001730AC"/>
    <w:rsid w:val="00175917"/>
    <w:rsid w:val="001776CC"/>
    <w:rsid w:val="001812FB"/>
    <w:rsid w:val="00191193"/>
    <w:rsid w:val="00191B98"/>
    <w:rsid w:val="00192BAA"/>
    <w:rsid w:val="00193160"/>
    <w:rsid w:val="00194845"/>
    <w:rsid w:val="001A0CE0"/>
    <w:rsid w:val="001A1D1D"/>
    <w:rsid w:val="001A4EAB"/>
    <w:rsid w:val="001A72C8"/>
    <w:rsid w:val="001B0F60"/>
    <w:rsid w:val="001B4574"/>
    <w:rsid w:val="001B4CB1"/>
    <w:rsid w:val="001B518C"/>
    <w:rsid w:val="001B59DA"/>
    <w:rsid w:val="001B5A2E"/>
    <w:rsid w:val="001B7E19"/>
    <w:rsid w:val="001C024B"/>
    <w:rsid w:val="001C03B8"/>
    <w:rsid w:val="001C30FC"/>
    <w:rsid w:val="001C435E"/>
    <w:rsid w:val="001C4B80"/>
    <w:rsid w:val="001C6C2A"/>
    <w:rsid w:val="001C7D09"/>
    <w:rsid w:val="001D160A"/>
    <w:rsid w:val="001D3342"/>
    <w:rsid w:val="001D3950"/>
    <w:rsid w:val="001D4D4F"/>
    <w:rsid w:val="001D5A25"/>
    <w:rsid w:val="001D6C42"/>
    <w:rsid w:val="001D6D43"/>
    <w:rsid w:val="001D7E78"/>
    <w:rsid w:val="001E30D1"/>
    <w:rsid w:val="001E418E"/>
    <w:rsid w:val="001E56B9"/>
    <w:rsid w:val="001E5D4F"/>
    <w:rsid w:val="001E66BD"/>
    <w:rsid w:val="001F223F"/>
    <w:rsid w:val="001F292A"/>
    <w:rsid w:val="001F3B62"/>
    <w:rsid w:val="001F4A9A"/>
    <w:rsid w:val="001F4D05"/>
    <w:rsid w:val="001F4D21"/>
    <w:rsid w:val="00201D7E"/>
    <w:rsid w:val="00205052"/>
    <w:rsid w:val="00210C48"/>
    <w:rsid w:val="00212166"/>
    <w:rsid w:val="0021339F"/>
    <w:rsid w:val="002142F1"/>
    <w:rsid w:val="00214C66"/>
    <w:rsid w:val="00215AC0"/>
    <w:rsid w:val="00220EDE"/>
    <w:rsid w:val="00224D21"/>
    <w:rsid w:val="0022531E"/>
    <w:rsid w:val="00227981"/>
    <w:rsid w:val="0023031F"/>
    <w:rsid w:val="00230D70"/>
    <w:rsid w:val="00231DA1"/>
    <w:rsid w:val="00233D84"/>
    <w:rsid w:val="0023519E"/>
    <w:rsid w:val="00236074"/>
    <w:rsid w:val="002366E2"/>
    <w:rsid w:val="0023695C"/>
    <w:rsid w:val="002369C7"/>
    <w:rsid w:val="002377EF"/>
    <w:rsid w:val="002418E5"/>
    <w:rsid w:val="00243FC0"/>
    <w:rsid w:val="00246A33"/>
    <w:rsid w:val="00246E23"/>
    <w:rsid w:val="00247C89"/>
    <w:rsid w:val="002504DF"/>
    <w:rsid w:val="0025190F"/>
    <w:rsid w:val="00251BA5"/>
    <w:rsid w:val="002606AF"/>
    <w:rsid w:val="002668F8"/>
    <w:rsid w:val="00266A5E"/>
    <w:rsid w:val="00266DFF"/>
    <w:rsid w:val="00270A26"/>
    <w:rsid w:val="00272E4B"/>
    <w:rsid w:val="00274F1F"/>
    <w:rsid w:val="00275554"/>
    <w:rsid w:val="002848CC"/>
    <w:rsid w:val="00284F7D"/>
    <w:rsid w:val="0028505B"/>
    <w:rsid w:val="00291008"/>
    <w:rsid w:val="002920C9"/>
    <w:rsid w:val="0029211F"/>
    <w:rsid w:val="00292E6F"/>
    <w:rsid w:val="00293621"/>
    <w:rsid w:val="00295A5A"/>
    <w:rsid w:val="002A07CF"/>
    <w:rsid w:val="002A22AF"/>
    <w:rsid w:val="002A2485"/>
    <w:rsid w:val="002A31CA"/>
    <w:rsid w:val="002A3AA6"/>
    <w:rsid w:val="002A6B54"/>
    <w:rsid w:val="002B2D8D"/>
    <w:rsid w:val="002B5B00"/>
    <w:rsid w:val="002C0BE6"/>
    <w:rsid w:val="002C0E22"/>
    <w:rsid w:val="002C12C5"/>
    <w:rsid w:val="002C179E"/>
    <w:rsid w:val="002C2C19"/>
    <w:rsid w:val="002C3985"/>
    <w:rsid w:val="002C44D0"/>
    <w:rsid w:val="002C575B"/>
    <w:rsid w:val="002C5BF9"/>
    <w:rsid w:val="002C6347"/>
    <w:rsid w:val="002C70B2"/>
    <w:rsid w:val="002C7EC3"/>
    <w:rsid w:val="002D0124"/>
    <w:rsid w:val="002D09F7"/>
    <w:rsid w:val="002D0A40"/>
    <w:rsid w:val="002D0CF3"/>
    <w:rsid w:val="002D1F7E"/>
    <w:rsid w:val="002D37F0"/>
    <w:rsid w:val="002D3D7F"/>
    <w:rsid w:val="002D4E62"/>
    <w:rsid w:val="002D6C42"/>
    <w:rsid w:val="002E2008"/>
    <w:rsid w:val="002E220A"/>
    <w:rsid w:val="002E45D2"/>
    <w:rsid w:val="002E5D70"/>
    <w:rsid w:val="002F04CC"/>
    <w:rsid w:val="002F07FC"/>
    <w:rsid w:val="002F1B3F"/>
    <w:rsid w:val="002F26F7"/>
    <w:rsid w:val="002F2CB3"/>
    <w:rsid w:val="002F2EB3"/>
    <w:rsid w:val="002F5803"/>
    <w:rsid w:val="00303353"/>
    <w:rsid w:val="0030351D"/>
    <w:rsid w:val="0030726D"/>
    <w:rsid w:val="003073CD"/>
    <w:rsid w:val="00311253"/>
    <w:rsid w:val="00311AD8"/>
    <w:rsid w:val="00311EB1"/>
    <w:rsid w:val="00313987"/>
    <w:rsid w:val="0031518E"/>
    <w:rsid w:val="00315A10"/>
    <w:rsid w:val="00316097"/>
    <w:rsid w:val="00317480"/>
    <w:rsid w:val="003227C1"/>
    <w:rsid w:val="00326BCD"/>
    <w:rsid w:val="003305F3"/>
    <w:rsid w:val="00331352"/>
    <w:rsid w:val="003314F8"/>
    <w:rsid w:val="003329A5"/>
    <w:rsid w:val="00334A0E"/>
    <w:rsid w:val="00340577"/>
    <w:rsid w:val="00342EFE"/>
    <w:rsid w:val="00344352"/>
    <w:rsid w:val="0034489B"/>
    <w:rsid w:val="00347D66"/>
    <w:rsid w:val="00350045"/>
    <w:rsid w:val="003523F2"/>
    <w:rsid w:val="0035364D"/>
    <w:rsid w:val="003541FE"/>
    <w:rsid w:val="00354348"/>
    <w:rsid w:val="00354988"/>
    <w:rsid w:val="00356DBE"/>
    <w:rsid w:val="003571D0"/>
    <w:rsid w:val="003575DF"/>
    <w:rsid w:val="00361C14"/>
    <w:rsid w:val="00365DA2"/>
    <w:rsid w:val="0036628B"/>
    <w:rsid w:val="00367CAF"/>
    <w:rsid w:val="0037047E"/>
    <w:rsid w:val="00372A9C"/>
    <w:rsid w:val="00372ECF"/>
    <w:rsid w:val="003742EF"/>
    <w:rsid w:val="003747E8"/>
    <w:rsid w:val="003763A3"/>
    <w:rsid w:val="00377E0C"/>
    <w:rsid w:val="00380A1D"/>
    <w:rsid w:val="003859F7"/>
    <w:rsid w:val="00393136"/>
    <w:rsid w:val="00395DB8"/>
    <w:rsid w:val="003A0D33"/>
    <w:rsid w:val="003A36A6"/>
    <w:rsid w:val="003A431C"/>
    <w:rsid w:val="003A4BF5"/>
    <w:rsid w:val="003A6D25"/>
    <w:rsid w:val="003A7FAC"/>
    <w:rsid w:val="003B12D5"/>
    <w:rsid w:val="003B2ED1"/>
    <w:rsid w:val="003B5BA0"/>
    <w:rsid w:val="003C0FF5"/>
    <w:rsid w:val="003C23FC"/>
    <w:rsid w:val="003C26A3"/>
    <w:rsid w:val="003C4D62"/>
    <w:rsid w:val="003C5829"/>
    <w:rsid w:val="003C70F6"/>
    <w:rsid w:val="003C718D"/>
    <w:rsid w:val="003C7C64"/>
    <w:rsid w:val="003D295E"/>
    <w:rsid w:val="003D2E2E"/>
    <w:rsid w:val="003D4805"/>
    <w:rsid w:val="003D5BA9"/>
    <w:rsid w:val="003D6DE2"/>
    <w:rsid w:val="003E0E32"/>
    <w:rsid w:val="003E0ED1"/>
    <w:rsid w:val="003E122F"/>
    <w:rsid w:val="003E4A80"/>
    <w:rsid w:val="003E53B2"/>
    <w:rsid w:val="003E696B"/>
    <w:rsid w:val="003E76B3"/>
    <w:rsid w:val="003F1729"/>
    <w:rsid w:val="003F326B"/>
    <w:rsid w:val="003F5C4C"/>
    <w:rsid w:val="00400367"/>
    <w:rsid w:val="00402931"/>
    <w:rsid w:val="00402F80"/>
    <w:rsid w:val="0040384F"/>
    <w:rsid w:val="00403FBD"/>
    <w:rsid w:val="00405A76"/>
    <w:rsid w:val="0040650C"/>
    <w:rsid w:val="004078AB"/>
    <w:rsid w:val="00411C2D"/>
    <w:rsid w:val="004138CC"/>
    <w:rsid w:val="004142A1"/>
    <w:rsid w:val="00414460"/>
    <w:rsid w:val="004202CD"/>
    <w:rsid w:val="00421347"/>
    <w:rsid w:val="00421B1F"/>
    <w:rsid w:val="004223BE"/>
    <w:rsid w:val="00424B9A"/>
    <w:rsid w:val="0042623C"/>
    <w:rsid w:val="0043111C"/>
    <w:rsid w:val="00437319"/>
    <w:rsid w:val="004376E5"/>
    <w:rsid w:val="00437C06"/>
    <w:rsid w:val="00440092"/>
    <w:rsid w:val="00440789"/>
    <w:rsid w:val="00440871"/>
    <w:rsid w:val="00440B46"/>
    <w:rsid w:val="0044106B"/>
    <w:rsid w:val="004415FC"/>
    <w:rsid w:val="00443275"/>
    <w:rsid w:val="0044713C"/>
    <w:rsid w:val="00450F97"/>
    <w:rsid w:val="0045567F"/>
    <w:rsid w:val="00456A9D"/>
    <w:rsid w:val="004575A6"/>
    <w:rsid w:val="00461E5C"/>
    <w:rsid w:val="00462375"/>
    <w:rsid w:val="004648C2"/>
    <w:rsid w:val="004657C8"/>
    <w:rsid w:val="00467699"/>
    <w:rsid w:val="00470863"/>
    <w:rsid w:val="00473F99"/>
    <w:rsid w:val="00475311"/>
    <w:rsid w:val="004809E6"/>
    <w:rsid w:val="0048537B"/>
    <w:rsid w:val="0048776F"/>
    <w:rsid w:val="00491DFD"/>
    <w:rsid w:val="0049359F"/>
    <w:rsid w:val="00494BCE"/>
    <w:rsid w:val="00494F0C"/>
    <w:rsid w:val="004956CE"/>
    <w:rsid w:val="0049663C"/>
    <w:rsid w:val="004977C0"/>
    <w:rsid w:val="004A7099"/>
    <w:rsid w:val="004B01A5"/>
    <w:rsid w:val="004B05A0"/>
    <w:rsid w:val="004B0F9E"/>
    <w:rsid w:val="004B0FC9"/>
    <w:rsid w:val="004B2669"/>
    <w:rsid w:val="004B57A6"/>
    <w:rsid w:val="004B5877"/>
    <w:rsid w:val="004B62EC"/>
    <w:rsid w:val="004B6367"/>
    <w:rsid w:val="004C0384"/>
    <w:rsid w:val="004C595E"/>
    <w:rsid w:val="004C5CA0"/>
    <w:rsid w:val="004D0B69"/>
    <w:rsid w:val="004D0D26"/>
    <w:rsid w:val="004D3F42"/>
    <w:rsid w:val="004D53D0"/>
    <w:rsid w:val="004D583B"/>
    <w:rsid w:val="004D72C2"/>
    <w:rsid w:val="004D7A78"/>
    <w:rsid w:val="004E3558"/>
    <w:rsid w:val="004E4CB1"/>
    <w:rsid w:val="004E646E"/>
    <w:rsid w:val="004F10C6"/>
    <w:rsid w:val="004F11ED"/>
    <w:rsid w:val="004F2C60"/>
    <w:rsid w:val="004F57E1"/>
    <w:rsid w:val="004F640B"/>
    <w:rsid w:val="004F7310"/>
    <w:rsid w:val="00500EFA"/>
    <w:rsid w:val="0050305F"/>
    <w:rsid w:val="00503176"/>
    <w:rsid w:val="0050495A"/>
    <w:rsid w:val="00504E33"/>
    <w:rsid w:val="00505148"/>
    <w:rsid w:val="005118D3"/>
    <w:rsid w:val="005131D6"/>
    <w:rsid w:val="00513839"/>
    <w:rsid w:val="00514D19"/>
    <w:rsid w:val="00515A0F"/>
    <w:rsid w:val="00530DCF"/>
    <w:rsid w:val="00531846"/>
    <w:rsid w:val="00531D3E"/>
    <w:rsid w:val="00531F6D"/>
    <w:rsid w:val="00533D55"/>
    <w:rsid w:val="00533EDF"/>
    <w:rsid w:val="00535CAF"/>
    <w:rsid w:val="00536540"/>
    <w:rsid w:val="00536FC9"/>
    <w:rsid w:val="0053726F"/>
    <w:rsid w:val="005414CE"/>
    <w:rsid w:val="00544A02"/>
    <w:rsid w:val="00544D59"/>
    <w:rsid w:val="0054553A"/>
    <w:rsid w:val="005465F0"/>
    <w:rsid w:val="005468F6"/>
    <w:rsid w:val="00551C58"/>
    <w:rsid w:val="0055378D"/>
    <w:rsid w:val="00553A79"/>
    <w:rsid w:val="0055554E"/>
    <w:rsid w:val="005568F1"/>
    <w:rsid w:val="00557128"/>
    <w:rsid w:val="00560A61"/>
    <w:rsid w:val="005628D6"/>
    <w:rsid w:val="00565E51"/>
    <w:rsid w:val="00566277"/>
    <w:rsid w:val="0056643B"/>
    <w:rsid w:val="0057013F"/>
    <w:rsid w:val="0057080E"/>
    <w:rsid w:val="005717B0"/>
    <w:rsid w:val="00571EE1"/>
    <w:rsid w:val="005722F8"/>
    <w:rsid w:val="0057349D"/>
    <w:rsid w:val="00573E17"/>
    <w:rsid w:val="00574487"/>
    <w:rsid w:val="005756BC"/>
    <w:rsid w:val="00575767"/>
    <w:rsid w:val="00575C7A"/>
    <w:rsid w:val="00575CF2"/>
    <w:rsid w:val="00580EDA"/>
    <w:rsid w:val="00582FAA"/>
    <w:rsid w:val="00584BFE"/>
    <w:rsid w:val="00585C5C"/>
    <w:rsid w:val="00591E8C"/>
    <w:rsid w:val="00592ACE"/>
    <w:rsid w:val="005937AE"/>
    <w:rsid w:val="00596E93"/>
    <w:rsid w:val="005A0271"/>
    <w:rsid w:val="005A1014"/>
    <w:rsid w:val="005A1040"/>
    <w:rsid w:val="005A2723"/>
    <w:rsid w:val="005A2E8C"/>
    <w:rsid w:val="005A3A8A"/>
    <w:rsid w:val="005A43A8"/>
    <w:rsid w:val="005B0C1F"/>
    <w:rsid w:val="005B2ECB"/>
    <w:rsid w:val="005B4EC4"/>
    <w:rsid w:val="005B52FA"/>
    <w:rsid w:val="005B54DE"/>
    <w:rsid w:val="005B5B3C"/>
    <w:rsid w:val="005C049B"/>
    <w:rsid w:val="005C0F8F"/>
    <w:rsid w:val="005C100D"/>
    <w:rsid w:val="005C1909"/>
    <w:rsid w:val="005C2106"/>
    <w:rsid w:val="005C4B0D"/>
    <w:rsid w:val="005D02BC"/>
    <w:rsid w:val="005D0AA4"/>
    <w:rsid w:val="005D221B"/>
    <w:rsid w:val="005E0222"/>
    <w:rsid w:val="005E104A"/>
    <w:rsid w:val="005E23ED"/>
    <w:rsid w:val="005E2646"/>
    <w:rsid w:val="005E73CA"/>
    <w:rsid w:val="005F2C71"/>
    <w:rsid w:val="005F5897"/>
    <w:rsid w:val="005F7141"/>
    <w:rsid w:val="006048E5"/>
    <w:rsid w:val="00605B71"/>
    <w:rsid w:val="006071EC"/>
    <w:rsid w:val="00610E4D"/>
    <w:rsid w:val="00614334"/>
    <w:rsid w:val="00614D92"/>
    <w:rsid w:val="00615088"/>
    <w:rsid w:val="00615942"/>
    <w:rsid w:val="00617039"/>
    <w:rsid w:val="00617C34"/>
    <w:rsid w:val="00617DAC"/>
    <w:rsid w:val="00622AF8"/>
    <w:rsid w:val="00622FB3"/>
    <w:rsid w:val="00624ECF"/>
    <w:rsid w:val="00631591"/>
    <w:rsid w:val="00632F30"/>
    <w:rsid w:val="00633A54"/>
    <w:rsid w:val="00634318"/>
    <w:rsid w:val="006359BC"/>
    <w:rsid w:val="00635DDA"/>
    <w:rsid w:val="00637918"/>
    <w:rsid w:val="00640106"/>
    <w:rsid w:val="0064148F"/>
    <w:rsid w:val="00641866"/>
    <w:rsid w:val="00641E4C"/>
    <w:rsid w:val="0064260B"/>
    <w:rsid w:val="006426E5"/>
    <w:rsid w:val="00642734"/>
    <w:rsid w:val="0064352C"/>
    <w:rsid w:val="00643FA3"/>
    <w:rsid w:val="0064498F"/>
    <w:rsid w:val="0064658E"/>
    <w:rsid w:val="00650D9C"/>
    <w:rsid w:val="0065474E"/>
    <w:rsid w:val="006549B0"/>
    <w:rsid w:val="00660E73"/>
    <w:rsid w:val="0066165D"/>
    <w:rsid w:val="006632DE"/>
    <w:rsid w:val="00664CA0"/>
    <w:rsid w:val="00665AFE"/>
    <w:rsid w:val="006674D5"/>
    <w:rsid w:val="006707EB"/>
    <w:rsid w:val="006724BE"/>
    <w:rsid w:val="00680779"/>
    <w:rsid w:val="00680F1D"/>
    <w:rsid w:val="006817B9"/>
    <w:rsid w:val="00683411"/>
    <w:rsid w:val="00683A95"/>
    <w:rsid w:val="00685782"/>
    <w:rsid w:val="00686230"/>
    <w:rsid w:val="006918EC"/>
    <w:rsid w:val="00693059"/>
    <w:rsid w:val="00694659"/>
    <w:rsid w:val="006948AA"/>
    <w:rsid w:val="00694A47"/>
    <w:rsid w:val="00695119"/>
    <w:rsid w:val="006951F6"/>
    <w:rsid w:val="006A1C7D"/>
    <w:rsid w:val="006A237F"/>
    <w:rsid w:val="006B3CC8"/>
    <w:rsid w:val="006B59D4"/>
    <w:rsid w:val="006B5F62"/>
    <w:rsid w:val="006B5FBD"/>
    <w:rsid w:val="006B63FC"/>
    <w:rsid w:val="006C12BE"/>
    <w:rsid w:val="006C49DE"/>
    <w:rsid w:val="006C5625"/>
    <w:rsid w:val="006C7762"/>
    <w:rsid w:val="006D31F0"/>
    <w:rsid w:val="006D627D"/>
    <w:rsid w:val="006D70AC"/>
    <w:rsid w:val="006D7139"/>
    <w:rsid w:val="006E2B12"/>
    <w:rsid w:val="006E59B9"/>
    <w:rsid w:val="006E6E20"/>
    <w:rsid w:val="006E6F86"/>
    <w:rsid w:val="006F23BA"/>
    <w:rsid w:val="006F799A"/>
    <w:rsid w:val="006F7FE3"/>
    <w:rsid w:val="0070206A"/>
    <w:rsid w:val="00702320"/>
    <w:rsid w:val="007036EF"/>
    <w:rsid w:val="00705835"/>
    <w:rsid w:val="00706662"/>
    <w:rsid w:val="0071006E"/>
    <w:rsid w:val="00711054"/>
    <w:rsid w:val="00713B9D"/>
    <w:rsid w:val="00716018"/>
    <w:rsid w:val="007207A5"/>
    <w:rsid w:val="00722540"/>
    <w:rsid w:val="00727787"/>
    <w:rsid w:val="00730C43"/>
    <w:rsid w:val="00735135"/>
    <w:rsid w:val="0073770A"/>
    <w:rsid w:val="00740C24"/>
    <w:rsid w:val="0074154C"/>
    <w:rsid w:val="00743663"/>
    <w:rsid w:val="007439B4"/>
    <w:rsid w:val="00745007"/>
    <w:rsid w:val="00746645"/>
    <w:rsid w:val="0075026C"/>
    <w:rsid w:val="00750A7F"/>
    <w:rsid w:val="00751C48"/>
    <w:rsid w:val="00752C52"/>
    <w:rsid w:val="00753BF2"/>
    <w:rsid w:val="00755B93"/>
    <w:rsid w:val="007575AE"/>
    <w:rsid w:val="00757AC6"/>
    <w:rsid w:val="00757F40"/>
    <w:rsid w:val="00761A02"/>
    <w:rsid w:val="00763BA6"/>
    <w:rsid w:val="007641C8"/>
    <w:rsid w:val="00765111"/>
    <w:rsid w:val="00773D52"/>
    <w:rsid w:val="007759C1"/>
    <w:rsid w:val="00776A3A"/>
    <w:rsid w:val="00776CE7"/>
    <w:rsid w:val="0078167C"/>
    <w:rsid w:val="0078189D"/>
    <w:rsid w:val="00783FE4"/>
    <w:rsid w:val="007860C4"/>
    <w:rsid w:val="00786305"/>
    <w:rsid w:val="007914B7"/>
    <w:rsid w:val="00792EBA"/>
    <w:rsid w:val="0079398B"/>
    <w:rsid w:val="00795214"/>
    <w:rsid w:val="007960FB"/>
    <w:rsid w:val="007969A6"/>
    <w:rsid w:val="007A2B81"/>
    <w:rsid w:val="007A56FB"/>
    <w:rsid w:val="007A690A"/>
    <w:rsid w:val="007B2B52"/>
    <w:rsid w:val="007B34D0"/>
    <w:rsid w:val="007B4CE6"/>
    <w:rsid w:val="007B5905"/>
    <w:rsid w:val="007B77B8"/>
    <w:rsid w:val="007C62D0"/>
    <w:rsid w:val="007C63F1"/>
    <w:rsid w:val="007C7CA3"/>
    <w:rsid w:val="007D103D"/>
    <w:rsid w:val="007D12E4"/>
    <w:rsid w:val="007D69B1"/>
    <w:rsid w:val="007D7F77"/>
    <w:rsid w:val="007D7FED"/>
    <w:rsid w:val="007E0632"/>
    <w:rsid w:val="007E0AA0"/>
    <w:rsid w:val="007E18A0"/>
    <w:rsid w:val="007E35FD"/>
    <w:rsid w:val="007E38FB"/>
    <w:rsid w:val="007E48AB"/>
    <w:rsid w:val="007E764C"/>
    <w:rsid w:val="007E7CDC"/>
    <w:rsid w:val="007F0EE9"/>
    <w:rsid w:val="007F405A"/>
    <w:rsid w:val="007F4778"/>
    <w:rsid w:val="007F5DF0"/>
    <w:rsid w:val="007F6888"/>
    <w:rsid w:val="007F6989"/>
    <w:rsid w:val="008012F0"/>
    <w:rsid w:val="00802478"/>
    <w:rsid w:val="00810117"/>
    <w:rsid w:val="008128C9"/>
    <w:rsid w:val="00812F68"/>
    <w:rsid w:val="008151E4"/>
    <w:rsid w:val="00820617"/>
    <w:rsid w:val="00820BBC"/>
    <w:rsid w:val="00821BE0"/>
    <w:rsid w:val="00822A03"/>
    <w:rsid w:val="00824784"/>
    <w:rsid w:val="00826125"/>
    <w:rsid w:val="00826649"/>
    <w:rsid w:val="0082694C"/>
    <w:rsid w:val="0083238B"/>
    <w:rsid w:val="0083288A"/>
    <w:rsid w:val="008342D2"/>
    <w:rsid w:val="00835038"/>
    <w:rsid w:val="00835A0E"/>
    <w:rsid w:val="008369C2"/>
    <w:rsid w:val="008371AD"/>
    <w:rsid w:val="0083783F"/>
    <w:rsid w:val="00840065"/>
    <w:rsid w:val="00840A47"/>
    <w:rsid w:val="00842FEB"/>
    <w:rsid w:val="008467DA"/>
    <w:rsid w:val="008471D1"/>
    <w:rsid w:val="008526EE"/>
    <w:rsid w:val="00852989"/>
    <w:rsid w:val="00854423"/>
    <w:rsid w:val="0085718E"/>
    <w:rsid w:val="00857F0C"/>
    <w:rsid w:val="008623CB"/>
    <w:rsid w:val="00862D8E"/>
    <w:rsid w:val="00862FF0"/>
    <w:rsid w:val="008667D9"/>
    <w:rsid w:val="00866EDA"/>
    <w:rsid w:val="00867A64"/>
    <w:rsid w:val="00870571"/>
    <w:rsid w:val="008706CE"/>
    <w:rsid w:val="008711F8"/>
    <w:rsid w:val="00871786"/>
    <w:rsid w:val="00873FA2"/>
    <w:rsid w:val="008757FC"/>
    <w:rsid w:val="008761B1"/>
    <w:rsid w:val="008777C0"/>
    <w:rsid w:val="008805A1"/>
    <w:rsid w:val="00885743"/>
    <w:rsid w:val="008865BC"/>
    <w:rsid w:val="008A46DE"/>
    <w:rsid w:val="008A4AFC"/>
    <w:rsid w:val="008A724A"/>
    <w:rsid w:val="008B2607"/>
    <w:rsid w:val="008B40B4"/>
    <w:rsid w:val="008B4677"/>
    <w:rsid w:val="008B678F"/>
    <w:rsid w:val="008B75EF"/>
    <w:rsid w:val="008C0C7B"/>
    <w:rsid w:val="008C3ADD"/>
    <w:rsid w:val="008C5072"/>
    <w:rsid w:val="008C5270"/>
    <w:rsid w:val="008C72D0"/>
    <w:rsid w:val="008C76A9"/>
    <w:rsid w:val="008D2306"/>
    <w:rsid w:val="008D2DA2"/>
    <w:rsid w:val="008D7700"/>
    <w:rsid w:val="008E015E"/>
    <w:rsid w:val="008E0456"/>
    <w:rsid w:val="008E06F6"/>
    <w:rsid w:val="008E2470"/>
    <w:rsid w:val="008E4997"/>
    <w:rsid w:val="008E4E18"/>
    <w:rsid w:val="008F21FB"/>
    <w:rsid w:val="008F2686"/>
    <w:rsid w:val="008F6B5D"/>
    <w:rsid w:val="008F6BFB"/>
    <w:rsid w:val="009017C2"/>
    <w:rsid w:val="00901C48"/>
    <w:rsid w:val="00902EDC"/>
    <w:rsid w:val="00903C8A"/>
    <w:rsid w:val="009040A6"/>
    <w:rsid w:val="00905692"/>
    <w:rsid w:val="0090629B"/>
    <w:rsid w:val="00906A1F"/>
    <w:rsid w:val="00906D11"/>
    <w:rsid w:val="0091407F"/>
    <w:rsid w:val="009204BA"/>
    <w:rsid w:val="00924081"/>
    <w:rsid w:val="0092690D"/>
    <w:rsid w:val="009311DA"/>
    <w:rsid w:val="0093217D"/>
    <w:rsid w:val="00932653"/>
    <w:rsid w:val="009326EA"/>
    <w:rsid w:val="00932AEA"/>
    <w:rsid w:val="00935E3C"/>
    <w:rsid w:val="00937699"/>
    <w:rsid w:val="0094022B"/>
    <w:rsid w:val="00943F95"/>
    <w:rsid w:val="00945AA0"/>
    <w:rsid w:val="00951068"/>
    <w:rsid w:val="00952EEA"/>
    <w:rsid w:val="00953670"/>
    <w:rsid w:val="00953780"/>
    <w:rsid w:val="009542F0"/>
    <w:rsid w:val="009567BC"/>
    <w:rsid w:val="00956C8E"/>
    <w:rsid w:val="009600B5"/>
    <w:rsid w:val="00964EE4"/>
    <w:rsid w:val="00966BF3"/>
    <w:rsid w:val="0096763D"/>
    <w:rsid w:val="00971ACA"/>
    <w:rsid w:val="00974404"/>
    <w:rsid w:val="00974C91"/>
    <w:rsid w:val="00975164"/>
    <w:rsid w:val="009803CB"/>
    <w:rsid w:val="0098217A"/>
    <w:rsid w:val="009829B4"/>
    <w:rsid w:val="009834AD"/>
    <w:rsid w:val="00984DCC"/>
    <w:rsid w:val="0098532D"/>
    <w:rsid w:val="009860F8"/>
    <w:rsid w:val="009901F9"/>
    <w:rsid w:val="0099059F"/>
    <w:rsid w:val="00990C72"/>
    <w:rsid w:val="00990E87"/>
    <w:rsid w:val="00993847"/>
    <w:rsid w:val="00994192"/>
    <w:rsid w:val="0099602B"/>
    <w:rsid w:val="009A1549"/>
    <w:rsid w:val="009A43A4"/>
    <w:rsid w:val="009A479A"/>
    <w:rsid w:val="009A7B30"/>
    <w:rsid w:val="009A7B83"/>
    <w:rsid w:val="009B0633"/>
    <w:rsid w:val="009B246C"/>
    <w:rsid w:val="009B2625"/>
    <w:rsid w:val="009B4432"/>
    <w:rsid w:val="009B783D"/>
    <w:rsid w:val="009C053B"/>
    <w:rsid w:val="009C17A2"/>
    <w:rsid w:val="009C390A"/>
    <w:rsid w:val="009C3AAB"/>
    <w:rsid w:val="009C6195"/>
    <w:rsid w:val="009D093C"/>
    <w:rsid w:val="009D15FF"/>
    <w:rsid w:val="009D1E49"/>
    <w:rsid w:val="009D69BB"/>
    <w:rsid w:val="009E0130"/>
    <w:rsid w:val="009E1356"/>
    <w:rsid w:val="009E1B40"/>
    <w:rsid w:val="009E36A3"/>
    <w:rsid w:val="009E4650"/>
    <w:rsid w:val="009E5980"/>
    <w:rsid w:val="009E5CD7"/>
    <w:rsid w:val="009F23BA"/>
    <w:rsid w:val="009F4CE3"/>
    <w:rsid w:val="009F6A69"/>
    <w:rsid w:val="00A00E5E"/>
    <w:rsid w:val="00A0727E"/>
    <w:rsid w:val="00A07A85"/>
    <w:rsid w:val="00A1087A"/>
    <w:rsid w:val="00A11F3F"/>
    <w:rsid w:val="00A12B19"/>
    <w:rsid w:val="00A13F0E"/>
    <w:rsid w:val="00A140BF"/>
    <w:rsid w:val="00A16177"/>
    <w:rsid w:val="00A163F8"/>
    <w:rsid w:val="00A16FC5"/>
    <w:rsid w:val="00A209D1"/>
    <w:rsid w:val="00A223AE"/>
    <w:rsid w:val="00A22F47"/>
    <w:rsid w:val="00A30591"/>
    <w:rsid w:val="00A35AE0"/>
    <w:rsid w:val="00A35CAC"/>
    <w:rsid w:val="00A36113"/>
    <w:rsid w:val="00A4016A"/>
    <w:rsid w:val="00A424E5"/>
    <w:rsid w:val="00A42847"/>
    <w:rsid w:val="00A4490F"/>
    <w:rsid w:val="00A44F24"/>
    <w:rsid w:val="00A47B79"/>
    <w:rsid w:val="00A53D70"/>
    <w:rsid w:val="00A5688C"/>
    <w:rsid w:val="00A60069"/>
    <w:rsid w:val="00A6127B"/>
    <w:rsid w:val="00A626D3"/>
    <w:rsid w:val="00A636EC"/>
    <w:rsid w:val="00A67F12"/>
    <w:rsid w:val="00A70BCC"/>
    <w:rsid w:val="00A71D2C"/>
    <w:rsid w:val="00A77C27"/>
    <w:rsid w:val="00A80160"/>
    <w:rsid w:val="00A80A66"/>
    <w:rsid w:val="00A80EC1"/>
    <w:rsid w:val="00A8152A"/>
    <w:rsid w:val="00A83B0F"/>
    <w:rsid w:val="00A85937"/>
    <w:rsid w:val="00A8702A"/>
    <w:rsid w:val="00A91EE7"/>
    <w:rsid w:val="00A93929"/>
    <w:rsid w:val="00A963EF"/>
    <w:rsid w:val="00A966AD"/>
    <w:rsid w:val="00A97658"/>
    <w:rsid w:val="00AA28CA"/>
    <w:rsid w:val="00AA3C1A"/>
    <w:rsid w:val="00AA5165"/>
    <w:rsid w:val="00AA7117"/>
    <w:rsid w:val="00AA74AE"/>
    <w:rsid w:val="00AB1350"/>
    <w:rsid w:val="00AB1749"/>
    <w:rsid w:val="00AB21D4"/>
    <w:rsid w:val="00AB2756"/>
    <w:rsid w:val="00AB28E4"/>
    <w:rsid w:val="00AB415E"/>
    <w:rsid w:val="00AB475C"/>
    <w:rsid w:val="00AB4E07"/>
    <w:rsid w:val="00AB5B07"/>
    <w:rsid w:val="00AB6244"/>
    <w:rsid w:val="00AB6987"/>
    <w:rsid w:val="00AC0FAD"/>
    <w:rsid w:val="00AC1090"/>
    <w:rsid w:val="00AC28BD"/>
    <w:rsid w:val="00AC36D2"/>
    <w:rsid w:val="00AC4DBC"/>
    <w:rsid w:val="00AC5849"/>
    <w:rsid w:val="00AC73CD"/>
    <w:rsid w:val="00AC76C7"/>
    <w:rsid w:val="00AC7F9B"/>
    <w:rsid w:val="00AD174A"/>
    <w:rsid w:val="00AD50A1"/>
    <w:rsid w:val="00AD66E2"/>
    <w:rsid w:val="00AD69C6"/>
    <w:rsid w:val="00AE1DE1"/>
    <w:rsid w:val="00AE2738"/>
    <w:rsid w:val="00AE5FE2"/>
    <w:rsid w:val="00AE6063"/>
    <w:rsid w:val="00AE61D1"/>
    <w:rsid w:val="00AE6E8A"/>
    <w:rsid w:val="00AE7E4D"/>
    <w:rsid w:val="00AF2950"/>
    <w:rsid w:val="00AF614B"/>
    <w:rsid w:val="00B00CC6"/>
    <w:rsid w:val="00B10C7C"/>
    <w:rsid w:val="00B10CDA"/>
    <w:rsid w:val="00B10E43"/>
    <w:rsid w:val="00B1204E"/>
    <w:rsid w:val="00B15307"/>
    <w:rsid w:val="00B16821"/>
    <w:rsid w:val="00B23A84"/>
    <w:rsid w:val="00B26E51"/>
    <w:rsid w:val="00B30270"/>
    <w:rsid w:val="00B30A7C"/>
    <w:rsid w:val="00B31472"/>
    <w:rsid w:val="00B324EE"/>
    <w:rsid w:val="00B3315B"/>
    <w:rsid w:val="00B33A65"/>
    <w:rsid w:val="00B33E99"/>
    <w:rsid w:val="00B37FEE"/>
    <w:rsid w:val="00B4037B"/>
    <w:rsid w:val="00B44142"/>
    <w:rsid w:val="00B4551C"/>
    <w:rsid w:val="00B45E30"/>
    <w:rsid w:val="00B467E4"/>
    <w:rsid w:val="00B46D2E"/>
    <w:rsid w:val="00B47F88"/>
    <w:rsid w:val="00B517DD"/>
    <w:rsid w:val="00B54724"/>
    <w:rsid w:val="00B5649C"/>
    <w:rsid w:val="00B564A4"/>
    <w:rsid w:val="00B60163"/>
    <w:rsid w:val="00B60364"/>
    <w:rsid w:val="00B65C27"/>
    <w:rsid w:val="00B66590"/>
    <w:rsid w:val="00B671FC"/>
    <w:rsid w:val="00B740C5"/>
    <w:rsid w:val="00B76340"/>
    <w:rsid w:val="00B817BB"/>
    <w:rsid w:val="00B81997"/>
    <w:rsid w:val="00B84317"/>
    <w:rsid w:val="00B854D8"/>
    <w:rsid w:val="00B86079"/>
    <w:rsid w:val="00B86DB1"/>
    <w:rsid w:val="00B874C7"/>
    <w:rsid w:val="00B90CBF"/>
    <w:rsid w:val="00B93499"/>
    <w:rsid w:val="00B93E23"/>
    <w:rsid w:val="00B956EA"/>
    <w:rsid w:val="00B966AF"/>
    <w:rsid w:val="00BA02CC"/>
    <w:rsid w:val="00BA1010"/>
    <w:rsid w:val="00BA2832"/>
    <w:rsid w:val="00BA4498"/>
    <w:rsid w:val="00BA4826"/>
    <w:rsid w:val="00BA6D8F"/>
    <w:rsid w:val="00BA7B7E"/>
    <w:rsid w:val="00BB05B1"/>
    <w:rsid w:val="00BB42EF"/>
    <w:rsid w:val="00BB4BBA"/>
    <w:rsid w:val="00BB5363"/>
    <w:rsid w:val="00BC06E4"/>
    <w:rsid w:val="00BC08EE"/>
    <w:rsid w:val="00BC0A64"/>
    <w:rsid w:val="00BC158C"/>
    <w:rsid w:val="00BC633B"/>
    <w:rsid w:val="00BC68FC"/>
    <w:rsid w:val="00BC7A5E"/>
    <w:rsid w:val="00BD1697"/>
    <w:rsid w:val="00BD16D5"/>
    <w:rsid w:val="00BD2230"/>
    <w:rsid w:val="00BD245C"/>
    <w:rsid w:val="00BD305F"/>
    <w:rsid w:val="00BD31F1"/>
    <w:rsid w:val="00BD4BC2"/>
    <w:rsid w:val="00BD5B28"/>
    <w:rsid w:val="00BD60A6"/>
    <w:rsid w:val="00BD7225"/>
    <w:rsid w:val="00BE1F3E"/>
    <w:rsid w:val="00BE250E"/>
    <w:rsid w:val="00BE3E30"/>
    <w:rsid w:val="00BE6F15"/>
    <w:rsid w:val="00BE7144"/>
    <w:rsid w:val="00BF1605"/>
    <w:rsid w:val="00BF2519"/>
    <w:rsid w:val="00BF2FA4"/>
    <w:rsid w:val="00BF3385"/>
    <w:rsid w:val="00BF5B40"/>
    <w:rsid w:val="00BF7906"/>
    <w:rsid w:val="00C02800"/>
    <w:rsid w:val="00C03A3C"/>
    <w:rsid w:val="00C0412F"/>
    <w:rsid w:val="00C04B25"/>
    <w:rsid w:val="00C04BA8"/>
    <w:rsid w:val="00C051F0"/>
    <w:rsid w:val="00C17706"/>
    <w:rsid w:val="00C178C5"/>
    <w:rsid w:val="00C208D4"/>
    <w:rsid w:val="00C22CAC"/>
    <w:rsid w:val="00C26331"/>
    <w:rsid w:val="00C33371"/>
    <w:rsid w:val="00C33B6C"/>
    <w:rsid w:val="00C35216"/>
    <w:rsid w:val="00C36B9B"/>
    <w:rsid w:val="00C419B3"/>
    <w:rsid w:val="00C44019"/>
    <w:rsid w:val="00C4516C"/>
    <w:rsid w:val="00C45CFE"/>
    <w:rsid w:val="00C463B9"/>
    <w:rsid w:val="00C478CA"/>
    <w:rsid w:val="00C52E2C"/>
    <w:rsid w:val="00C534BD"/>
    <w:rsid w:val="00C536F5"/>
    <w:rsid w:val="00C538B7"/>
    <w:rsid w:val="00C55221"/>
    <w:rsid w:val="00C57A3A"/>
    <w:rsid w:val="00C60B80"/>
    <w:rsid w:val="00C61779"/>
    <w:rsid w:val="00C62A55"/>
    <w:rsid w:val="00C6337B"/>
    <w:rsid w:val="00C642CE"/>
    <w:rsid w:val="00C647A5"/>
    <w:rsid w:val="00C64811"/>
    <w:rsid w:val="00C67521"/>
    <w:rsid w:val="00C67CB8"/>
    <w:rsid w:val="00C67EE6"/>
    <w:rsid w:val="00C719DF"/>
    <w:rsid w:val="00C71B8F"/>
    <w:rsid w:val="00C71C07"/>
    <w:rsid w:val="00C72D29"/>
    <w:rsid w:val="00C7430F"/>
    <w:rsid w:val="00C743E3"/>
    <w:rsid w:val="00C74B24"/>
    <w:rsid w:val="00C76ADF"/>
    <w:rsid w:val="00C80A7E"/>
    <w:rsid w:val="00C81E29"/>
    <w:rsid w:val="00C8215C"/>
    <w:rsid w:val="00C83D99"/>
    <w:rsid w:val="00C84880"/>
    <w:rsid w:val="00C86162"/>
    <w:rsid w:val="00C902BD"/>
    <w:rsid w:val="00C90C72"/>
    <w:rsid w:val="00C9387E"/>
    <w:rsid w:val="00C93EF5"/>
    <w:rsid w:val="00C94EF3"/>
    <w:rsid w:val="00C953C8"/>
    <w:rsid w:val="00C97C5A"/>
    <w:rsid w:val="00C97FEA"/>
    <w:rsid w:val="00CA0700"/>
    <w:rsid w:val="00CA1E1A"/>
    <w:rsid w:val="00CA23D4"/>
    <w:rsid w:val="00CA2BDE"/>
    <w:rsid w:val="00CA2EF8"/>
    <w:rsid w:val="00CA3F57"/>
    <w:rsid w:val="00CA402B"/>
    <w:rsid w:val="00CA5A54"/>
    <w:rsid w:val="00CA6B07"/>
    <w:rsid w:val="00CB1178"/>
    <w:rsid w:val="00CB177F"/>
    <w:rsid w:val="00CB4718"/>
    <w:rsid w:val="00CB537D"/>
    <w:rsid w:val="00CB6629"/>
    <w:rsid w:val="00CB7715"/>
    <w:rsid w:val="00CC0AB8"/>
    <w:rsid w:val="00CC0C86"/>
    <w:rsid w:val="00CC3A94"/>
    <w:rsid w:val="00CC539E"/>
    <w:rsid w:val="00CC5A0E"/>
    <w:rsid w:val="00CC71C1"/>
    <w:rsid w:val="00CC7D3F"/>
    <w:rsid w:val="00CD0639"/>
    <w:rsid w:val="00CD09C1"/>
    <w:rsid w:val="00CD2552"/>
    <w:rsid w:val="00CD3BD8"/>
    <w:rsid w:val="00CD4BE8"/>
    <w:rsid w:val="00CD4C06"/>
    <w:rsid w:val="00CD7B2C"/>
    <w:rsid w:val="00CD7F11"/>
    <w:rsid w:val="00CE1652"/>
    <w:rsid w:val="00CE2219"/>
    <w:rsid w:val="00CE5014"/>
    <w:rsid w:val="00CF17C1"/>
    <w:rsid w:val="00CF607F"/>
    <w:rsid w:val="00CF6E15"/>
    <w:rsid w:val="00CF71E3"/>
    <w:rsid w:val="00CF7BB7"/>
    <w:rsid w:val="00D00139"/>
    <w:rsid w:val="00D001DA"/>
    <w:rsid w:val="00D032F0"/>
    <w:rsid w:val="00D03C84"/>
    <w:rsid w:val="00D045EC"/>
    <w:rsid w:val="00D10A56"/>
    <w:rsid w:val="00D128D4"/>
    <w:rsid w:val="00D12F74"/>
    <w:rsid w:val="00D15A13"/>
    <w:rsid w:val="00D16969"/>
    <w:rsid w:val="00D169C9"/>
    <w:rsid w:val="00D17979"/>
    <w:rsid w:val="00D21DB9"/>
    <w:rsid w:val="00D23B0D"/>
    <w:rsid w:val="00D25427"/>
    <w:rsid w:val="00D26860"/>
    <w:rsid w:val="00D2792C"/>
    <w:rsid w:val="00D27FEA"/>
    <w:rsid w:val="00D31B11"/>
    <w:rsid w:val="00D36187"/>
    <w:rsid w:val="00D36ECA"/>
    <w:rsid w:val="00D402A1"/>
    <w:rsid w:val="00D403AE"/>
    <w:rsid w:val="00D41215"/>
    <w:rsid w:val="00D43856"/>
    <w:rsid w:val="00D4550B"/>
    <w:rsid w:val="00D46597"/>
    <w:rsid w:val="00D46A30"/>
    <w:rsid w:val="00D5003A"/>
    <w:rsid w:val="00D51587"/>
    <w:rsid w:val="00D54A4C"/>
    <w:rsid w:val="00D55B24"/>
    <w:rsid w:val="00D5652D"/>
    <w:rsid w:val="00D60645"/>
    <w:rsid w:val="00D611D8"/>
    <w:rsid w:val="00D6299D"/>
    <w:rsid w:val="00D65056"/>
    <w:rsid w:val="00D6732F"/>
    <w:rsid w:val="00D67F2C"/>
    <w:rsid w:val="00D70928"/>
    <w:rsid w:val="00D7118A"/>
    <w:rsid w:val="00D7150A"/>
    <w:rsid w:val="00D71E0A"/>
    <w:rsid w:val="00D7202C"/>
    <w:rsid w:val="00D74FA7"/>
    <w:rsid w:val="00D75860"/>
    <w:rsid w:val="00D820B8"/>
    <w:rsid w:val="00D82614"/>
    <w:rsid w:val="00D82AE7"/>
    <w:rsid w:val="00D82B51"/>
    <w:rsid w:val="00D85BFD"/>
    <w:rsid w:val="00D86398"/>
    <w:rsid w:val="00D87D31"/>
    <w:rsid w:val="00D900B3"/>
    <w:rsid w:val="00D905A4"/>
    <w:rsid w:val="00D92EBF"/>
    <w:rsid w:val="00D9368C"/>
    <w:rsid w:val="00D97E87"/>
    <w:rsid w:val="00DA33C4"/>
    <w:rsid w:val="00DB117F"/>
    <w:rsid w:val="00DB1A85"/>
    <w:rsid w:val="00DB4905"/>
    <w:rsid w:val="00DC1ED8"/>
    <w:rsid w:val="00DC2F2D"/>
    <w:rsid w:val="00DC340B"/>
    <w:rsid w:val="00DC55E8"/>
    <w:rsid w:val="00DC5D00"/>
    <w:rsid w:val="00DC7DE2"/>
    <w:rsid w:val="00DC7FC3"/>
    <w:rsid w:val="00DD0315"/>
    <w:rsid w:val="00DD0F23"/>
    <w:rsid w:val="00DD1C0A"/>
    <w:rsid w:val="00DD38F6"/>
    <w:rsid w:val="00DD4F85"/>
    <w:rsid w:val="00DD4F8D"/>
    <w:rsid w:val="00DD50B0"/>
    <w:rsid w:val="00DD5938"/>
    <w:rsid w:val="00DD5958"/>
    <w:rsid w:val="00DD5CBD"/>
    <w:rsid w:val="00DD6179"/>
    <w:rsid w:val="00DD6410"/>
    <w:rsid w:val="00DD6ADB"/>
    <w:rsid w:val="00DE36DD"/>
    <w:rsid w:val="00DE3710"/>
    <w:rsid w:val="00DE4A4C"/>
    <w:rsid w:val="00DE569F"/>
    <w:rsid w:val="00DE6C0F"/>
    <w:rsid w:val="00DF0028"/>
    <w:rsid w:val="00DF0ED2"/>
    <w:rsid w:val="00DF1B83"/>
    <w:rsid w:val="00DF31F6"/>
    <w:rsid w:val="00DF332B"/>
    <w:rsid w:val="00DF44E5"/>
    <w:rsid w:val="00DF4C82"/>
    <w:rsid w:val="00DF4E46"/>
    <w:rsid w:val="00DF51B9"/>
    <w:rsid w:val="00DF7126"/>
    <w:rsid w:val="00DF7A05"/>
    <w:rsid w:val="00E01607"/>
    <w:rsid w:val="00E064FB"/>
    <w:rsid w:val="00E10AFC"/>
    <w:rsid w:val="00E165B6"/>
    <w:rsid w:val="00E2079D"/>
    <w:rsid w:val="00E20AC3"/>
    <w:rsid w:val="00E2235A"/>
    <w:rsid w:val="00E328C6"/>
    <w:rsid w:val="00E32F71"/>
    <w:rsid w:val="00E34914"/>
    <w:rsid w:val="00E36045"/>
    <w:rsid w:val="00E36095"/>
    <w:rsid w:val="00E37A9A"/>
    <w:rsid w:val="00E40657"/>
    <w:rsid w:val="00E41E46"/>
    <w:rsid w:val="00E44A5A"/>
    <w:rsid w:val="00E467B1"/>
    <w:rsid w:val="00E5063D"/>
    <w:rsid w:val="00E50F6B"/>
    <w:rsid w:val="00E56410"/>
    <w:rsid w:val="00E572E9"/>
    <w:rsid w:val="00E575D2"/>
    <w:rsid w:val="00E57D78"/>
    <w:rsid w:val="00E608A4"/>
    <w:rsid w:val="00E609BD"/>
    <w:rsid w:val="00E615B1"/>
    <w:rsid w:val="00E64152"/>
    <w:rsid w:val="00E65346"/>
    <w:rsid w:val="00E663A2"/>
    <w:rsid w:val="00E67B03"/>
    <w:rsid w:val="00E72CD2"/>
    <w:rsid w:val="00E735D2"/>
    <w:rsid w:val="00E745B6"/>
    <w:rsid w:val="00E77E06"/>
    <w:rsid w:val="00E81BCB"/>
    <w:rsid w:val="00E82C69"/>
    <w:rsid w:val="00E83C5D"/>
    <w:rsid w:val="00E84FAC"/>
    <w:rsid w:val="00E9065A"/>
    <w:rsid w:val="00E917D3"/>
    <w:rsid w:val="00E933F8"/>
    <w:rsid w:val="00E94285"/>
    <w:rsid w:val="00E9478B"/>
    <w:rsid w:val="00E96A39"/>
    <w:rsid w:val="00EA190B"/>
    <w:rsid w:val="00EA4AE9"/>
    <w:rsid w:val="00EA53D4"/>
    <w:rsid w:val="00EA6C06"/>
    <w:rsid w:val="00EB2A74"/>
    <w:rsid w:val="00EB37DE"/>
    <w:rsid w:val="00EB42AD"/>
    <w:rsid w:val="00EB6964"/>
    <w:rsid w:val="00EB6C80"/>
    <w:rsid w:val="00EB705C"/>
    <w:rsid w:val="00EB77F1"/>
    <w:rsid w:val="00EC0CA8"/>
    <w:rsid w:val="00EC4966"/>
    <w:rsid w:val="00EC5CDE"/>
    <w:rsid w:val="00EC6BE0"/>
    <w:rsid w:val="00EC7B8A"/>
    <w:rsid w:val="00ED1631"/>
    <w:rsid w:val="00ED1EE4"/>
    <w:rsid w:val="00ED4F7C"/>
    <w:rsid w:val="00ED621A"/>
    <w:rsid w:val="00ED7F08"/>
    <w:rsid w:val="00EE3EB2"/>
    <w:rsid w:val="00EE5AE2"/>
    <w:rsid w:val="00EE5B6D"/>
    <w:rsid w:val="00EF0AD8"/>
    <w:rsid w:val="00EF202B"/>
    <w:rsid w:val="00EF3DA8"/>
    <w:rsid w:val="00EF7AF5"/>
    <w:rsid w:val="00F0054C"/>
    <w:rsid w:val="00F00990"/>
    <w:rsid w:val="00F00D1A"/>
    <w:rsid w:val="00F00FA9"/>
    <w:rsid w:val="00F031C2"/>
    <w:rsid w:val="00F033FE"/>
    <w:rsid w:val="00F03641"/>
    <w:rsid w:val="00F03A58"/>
    <w:rsid w:val="00F053DD"/>
    <w:rsid w:val="00F06006"/>
    <w:rsid w:val="00F10665"/>
    <w:rsid w:val="00F10BF5"/>
    <w:rsid w:val="00F143DD"/>
    <w:rsid w:val="00F15641"/>
    <w:rsid w:val="00F21493"/>
    <w:rsid w:val="00F2192F"/>
    <w:rsid w:val="00F23C3D"/>
    <w:rsid w:val="00F30376"/>
    <w:rsid w:val="00F31124"/>
    <w:rsid w:val="00F31A3D"/>
    <w:rsid w:val="00F33CA8"/>
    <w:rsid w:val="00F33EE5"/>
    <w:rsid w:val="00F40376"/>
    <w:rsid w:val="00F418C8"/>
    <w:rsid w:val="00F509BB"/>
    <w:rsid w:val="00F5340C"/>
    <w:rsid w:val="00F53550"/>
    <w:rsid w:val="00F54BCC"/>
    <w:rsid w:val="00F55482"/>
    <w:rsid w:val="00F57E3D"/>
    <w:rsid w:val="00F63DA9"/>
    <w:rsid w:val="00F64F35"/>
    <w:rsid w:val="00F65BCA"/>
    <w:rsid w:val="00F66C40"/>
    <w:rsid w:val="00F67EA7"/>
    <w:rsid w:val="00F70ABD"/>
    <w:rsid w:val="00F740AA"/>
    <w:rsid w:val="00F80436"/>
    <w:rsid w:val="00F80C7F"/>
    <w:rsid w:val="00F825D8"/>
    <w:rsid w:val="00F82B04"/>
    <w:rsid w:val="00F95679"/>
    <w:rsid w:val="00FA0D3D"/>
    <w:rsid w:val="00FA5978"/>
    <w:rsid w:val="00FA6FD6"/>
    <w:rsid w:val="00FB0636"/>
    <w:rsid w:val="00FB2AB0"/>
    <w:rsid w:val="00FB3313"/>
    <w:rsid w:val="00FB42BB"/>
    <w:rsid w:val="00FB55D3"/>
    <w:rsid w:val="00FB6CB8"/>
    <w:rsid w:val="00FB7596"/>
    <w:rsid w:val="00FC2304"/>
    <w:rsid w:val="00FC3C6E"/>
    <w:rsid w:val="00FC58B1"/>
    <w:rsid w:val="00FC5C19"/>
    <w:rsid w:val="00FD020E"/>
    <w:rsid w:val="00FD0543"/>
    <w:rsid w:val="00FD20DB"/>
    <w:rsid w:val="00FD53F8"/>
    <w:rsid w:val="00FD71C5"/>
    <w:rsid w:val="00FE09AA"/>
    <w:rsid w:val="00FE336F"/>
    <w:rsid w:val="00FE35C6"/>
    <w:rsid w:val="00FE47CF"/>
    <w:rsid w:val="00FE4A6B"/>
    <w:rsid w:val="00FE55E3"/>
    <w:rsid w:val="00FE664A"/>
    <w:rsid w:val="00FE66C5"/>
    <w:rsid w:val="00FE6B51"/>
    <w:rsid w:val="00FF1748"/>
    <w:rsid w:val="00FF1FED"/>
    <w:rsid w:val="00FF4712"/>
    <w:rsid w:val="00FF7E01"/>
    <w:rsid w:val="68B6C7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121CAF"/>
  <w15:docId w15:val="{CBCA146B-F96F-4D38-8E8D-4FEF3423892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qFormat="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7F6989"/>
    <w:pPr>
      <w:spacing w:line="256" w:lineRule="auto"/>
    </w:pPr>
    <w:rPr>
      <w:rFonts w:ascii="Arial" w:hAnsi="Arial" w:cs="Times New Roman"/>
      <w:sz w:val="24"/>
    </w:rPr>
  </w:style>
  <w:style w:type="paragraph" w:styleId="Ttulo1">
    <w:name w:val="heading 1"/>
    <w:basedOn w:val="Normal"/>
    <w:next w:val="Normal"/>
    <w:link w:val="Ttulo1Car"/>
    <w:uiPriority w:val="9"/>
    <w:qFormat/>
    <w:rsid w:val="007F6989"/>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7F6989"/>
    <w:rPr>
      <w:rFonts w:asciiTheme="majorHAnsi" w:hAnsiTheme="majorHAnsi" w:eastAsiaTheme="majorEastAsia" w:cstheme="majorBidi"/>
      <w:color w:val="2F5496" w:themeColor="accent1" w:themeShade="BF"/>
      <w:sz w:val="32"/>
      <w:szCs w:val="32"/>
    </w:rPr>
  </w:style>
  <w:style w:type="paragraph" w:styleId="Piedepgina">
    <w:name w:val="footer"/>
    <w:basedOn w:val="Normal"/>
    <w:link w:val="PiedepginaCar"/>
    <w:uiPriority w:val="99"/>
    <w:rsid w:val="007F6989"/>
    <w:pPr>
      <w:tabs>
        <w:tab w:val="center" w:pos="4252"/>
        <w:tab w:val="right" w:pos="8504"/>
      </w:tabs>
      <w:spacing w:after="0" w:line="240" w:lineRule="auto"/>
    </w:pPr>
    <w:rPr>
      <w:rFonts w:ascii="Times New Roman" w:hAnsi="Times New Roman" w:eastAsia="Times New Roman"/>
      <w:szCs w:val="24"/>
      <w:lang w:val="x-none" w:eastAsia="es-ES"/>
    </w:rPr>
  </w:style>
  <w:style w:type="character" w:styleId="PiedepginaCar" w:customStyle="1">
    <w:name w:val="Pie de página Car"/>
    <w:basedOn w:val="Fuentedeprrafopredeter"/>
    <w:link w:val="Piedepgina"/>
    <w:uiPriority w:val="99"/>
    <w:rsid w:val="007F6989"/>
    <w:rPr>
      <w:rFonts w:ascii="Times New Roman" w:hAnsi="Times New Roman" w:eastAsia="Times New Roman" w:cs="Times New Roman"/>
      <w:sz w:val="24"/>
      <w:szCs w:val="24"/>
      <w:lang w:val="x-none" w:eastAsia="es-ES"/>
    </w:rPr>
  </w:style>
  <w:style w:type="character" w:styleId="Nmerodepgina">
    <w:name w:val="page number"/>
    <w:rsid w:val="007F6989"/>
  </w:style>
  <w:style w:type="paragraph" w:styleId="Ttulo">
    <w:name w:val="Title"/>
    <w:aliases w:val="Título1"/>
    <w:basedOn w:val="Normal"/>
    <w:next w:val="Normal"/>
    <w:link w:val="TtuloCar1"/>
    <w:uiPriority w:val="10"/>
    <w:qFormat/>
    <w:rsid w:val="007F6989"/>
    <w:pPr>
      <w:spacing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uiPriority w:val="10"/>
    <w:rsid w:val="007F6989"/>
    <w:rPr>
      <w:rFonts w:asciiTheme="majorHAnsi" w:hAnsiTheme="majorHAnsi" w:eastAsiaTheme="majorEastAsia" w:cstheme="majorBidi"/>
      <w:spacing w:val="-10"/>
      <w:kern w:val="28"/>
      <w:sz w:val="56"/>
      <w:szCs w:val="56"/>
    </w:rPr>
  </w:style>
  <w:style w:type="paragraph" w:styleId="Encabezado">
    <w:name w:val="header"/>
    <w:basedOn w:val="Normal"/>
    <w:link w:val="EncabezadoCar"/>
    <w:uiPriority w:val="99"/>
    <w:rsid w:val="007F6989"/>
    <w:pPr>
      <w:tabs>
        <w:tab w:val="center" w:pos="4252"/>
        <w:tab w:val="right" w:pos="8504"/>
      </w:tabs>
      <w:spacing w:after="0" w:line="240" w:lineRule="auto"/>
    </w:pPr>
    <w:rPr>
      <w:rFonts w:ascii="Times New Roman" w:hAnsi="Times New Roman" w:eastAsia="Times New Roman"/>
      <w:szCs w:val="24"/>
      <w:lang w:val="x-none" w:eastAsia="es-ES"/>
    </w:rPr>
  </w:style>
  <w:style w:type="character" w:styleId="EncabezadoCar" w:customStyle="1">
    <w:name w:val="Encabezado Car"/>
    <w:basedOn w:val="Fuentedeprrafopredeter"/>
    <w:link w:val="Encabezado"/>
    <w:uiPriority w:val="99"/>
    <w:rsid w:val="007F6989"/>
    <w:rPr>
      <w:rFonts w:ascii="Times New Roman" w:hAnsi="Times New Roman" w:eastAsia="Times New Roman" w:cs="Times New Roman"/>
      <w:sz w:val="24"/>
      <w:szCs w:val="24"/>
      <w:lang w:val="x-none" w:eastAsia="es-ES"/>
    </w:rPr>
  </w:style>
  <w:style w:type="paragraph" w:styleId="Textonotapie">
    <w:name w:val="footnote text"/>
    <w:aliases w:val="Footnote Text Char Char Char Char Char,Footnote Text Char Char Char Char,Footnote reference,FA Fu,texto de nota al pie,Footnote Text Char Char Char,Footnote Text Char,Footnote Text Char Char Char Char Char Char Char Char,fn,Footnote Tex,C"/>
    <w:basedOn w:val="Normal"/>
    <w:link w:val="TextonotapieCar"/>
    <w:uiPriority w:val="99"/>
    <w:qFormat/>
    <w:rsid w:val="007F6989"/>
    <w:pPr>
      <w:spacing w:after="0" w:line="240" w:lineRule="auto"/>
    </w:pPr>
    <w:rPr>
      <w:rFonts w:ascii="Times New Roman" w:hAnsi="Times New Roman" w:eastAsia="Times New Roman"/>
      <w:sz w:val="20"/>
      <w:szCs w:val="20"/>
      <w:lang w:val="x-none" w:eastAsia="es-ES"/>
    </w:rPr>
  </w:style>
  <w:style w:type="character" w:styleId="TextonotapieCar" w:customStyle="1">
    <w:name w:val="Texto nota pie Car"/>
    <w:aliases w:val="Footnote Text Char Char Char Char Char Car,Footnote Text Char Char Char Char Car,Footnote reference Car,FA Fu Car,texto de nota al pie Car,Footnote Text Char Char Char Car,Footnote Text Char Car,fn Car,Footnote Tex Car,C Car"/>
    <w:basedOn w:val="Fuentedeprrafopredeter"/>
    <w:link w:val="Textonotapie"/>
    <w:uiPriority w:val="99"/>
    <w:qFormat/>
    <w:rsid w:val="007F6989"/>
    <w:rPr>
      <w:rFonts w:ascii="Times New Roman" w:hAnsi="Times New Roman" w:eastAsia="Times New Roman" w:cs="Times New Roman"/>
      <w:sz w:val="20"/>
      <w:szCs w:val="20"/>
      <w:lang w:val="x-none" w:eastAsia="es-ES"/>
    </w:rPr>
  </w:style>
  <w:style w:type="character" w:styleId="Refdenotaalpie">
    <w:name w:val="footnote reference"/>
    <w:aliases w:val="Ref. de nota al pie 2,Texto de nota al pie,Footnotes refss,Appel note de bas de page,Pie de Página,FC,Texto de nota al p,Pie de Pàgina,F,Pie de P_gin,Pie de P_,Texto de nota al pi,Pie de P_g,Footnote number,referencia nota al pie,f,4"/>
    <w:link w:val="Refdenotaalpie2"/>
    <w:qFormat/>
    <w:rsid w:val="007F6989"/>
    <w:rPr>
      <w:vertAlign w:val="superscript"/>
    </w:rPr>
  </w:style>
  <w:style w:type="character" w:styleId="Referenciasutil">
    <w:name w:val="Subtle Reference"/>
    <w:uiPriority w:val="31"/>
    <w:qFormat/>
    <w:rsid w:val="007F6989"/>
    <w:rPr>
      <w:smallCaps/>
      <w:color w:val="C0504D"/>
      <w:u w:val="single"/>
    </w:rPr>
  </w:style>
  <w:style w:type="paragraph" w:styleId="Refdenotaalpie2" w:customStyle="1">
    <w:name w:val="Ref. de nota al pie2"/>
    <w:aliases w:val="Pie de pagina,Nota de pie"/>
    <w:basedOn w:val="Normal"/>
    <w:link w:val="Refdenotaalpie"/>
    <w:rsid w:val="007F6989"/>
    <w:pPr>
      <w:spacing w:line="240" w:lineRule="exact"/>
    </w:pPr>
    <w:rPr>
      <w:rFonts w:asciiTheme="minorHAnsi" w:hAnsiTheme="minorHAnsi" w:cstheme="minorBidi"/>
      <w:sz w:val="22"/>
      <w:vertAlign w:val="superscript"/>
    </w:rPr>
  </w:style>
  <w:style w:type="paragraph" w:styleId="Prrafodelista">
    <w:name w:val="List Paragraph"/>
    <w:basedOn w:val="Normal"/>
    <w:link w:val="PrrafodelistaCar"/>
    <w:uiPriority w:val="34"/>
    <w:qFormat/>
    <w:rsid w:val="007F6989"/>
    <w:pPr>
      <w:spacing w:after="200" w:line="276" w:lineRule="auto"/>
      <w:ind w:left="720"/>
    </w:pPr>
    <w:rPr>
      <w:rFonts w:ascii="Calibri" w:hAnsi="Calibri" w:eastAsia="Times New Roman"/>
      <w:sz w:val="22"/>
    </w:rPr>
  </w:style>
  <w:style w:type="character" w:styleId="TtuloCar1" w:customStyle="1">
    <w:name w:val="Título Car1"/>
    <w:aliases w:val="Título1 Car"/>
    <w:basedOn w:val="Fuentedeprrafopredeter"/>
    <w:link w:val="Ttulo"/>
    <w:uiPriority w:val="10"/>
    <w:rsid w:val="007F6989"/>
    <w:rPr>
      <w:rFonts w:asciiTheme="majorHAnsi" w:hAnsiTheme="majorHAnsi" w:eastAsiaTheme="majorEastAsia" w:cstheme="majorBidi"/>
      <w:spacing w:val="-10"/>
      <w:kern w:val="28"/>
      <w:sz w:val="56"/>
      <w:szCs w:val="56"/>
    </w:rPr>
  </w:style>
  <w:style w:type="paragraph" w:styleId="Textocomentario">
    <w:name w:val="annotation text"/>
    <w:basedOn w:val="Normal"/>
    <w:link w:val="TextocomentarioCar"/>
    <w:uiPriority w:val="99"/>
    <w:unhideWhenUsed/>
    <w:rsid w:val="007F6989"/>
    <w:pPr>
      <w:spacing w:line="240" w:lineRule="auto"/>
    </w:pPr>
    <w:rPr>
      <w:sz w:val="20"/>
      <w:szCs w:val="20"/>
    </w:rPr>
  </w:style>
  <w:style w:type="character" w:styleId="TextocomentarioCar" w:customStyle="1">
    <w:name w:val="Texto comentario Car"/>
    <w:basedOn w:val="Fuentedeprrafopredeter"/>
    <w:link w:val="Textocomentario"/>
    <w:uiPriority w:val="99"/>
    <w:rsid w:val="007F6989"/>
    <w:rPr>
      <w:rFonts w:ascii="Arial" w:hAnsi="Arial" w:cs="Times New Roman"/>
      <w:sz w:val="20"/>
      <w:szCs w:val="20"/>
    </w:rPr>
  </w:style>
  <w:style w:type="character" w:styleId="Textoennegrita">
    <w:name w:val="Strong"/>
    <w:uiPriority w:val="22"/>
    <w:qFormat/>
    <w:rsid w:val="007F6989"/>
    <w:rPr>
      <w:b/>
      <w:bCs/>
    </w:rPr>
  </w:style>
  <w:style w:type="paragraph" w:styleId="Sinespaciado">
    <w:name w:val="No Spacing"/>
    <w:uiPriority w:val="1"/>
    <w:qFormat/>
    <w:rsid w:val="006F7FE3"/>
    <w:pPr>
      <w:spacing w:after="0" w:line="240" w:lineRule="auto"/>
      <w:jc w:val="both"/>
    </w:pPr>
    <w:rPr>
      <w:rFonts w:ascii="Arial" w:hAnsi="Arial" w:eastAsia="Calibri" w:cs="Arial"/>
      <w:sz w:val="24"/>
      <w:szCs w:val="24"/>
      <w:lang w:val="es-ES"/>
    </w:rPr>
  </w:style>
  <w:style w:type="character" w:styleId="apple-converted-space" w:customStyle="1">
    <w:name w:val="apple-converted-space"/>
    <w:rsid w:val="003541FE"/>
  </w:style>
  <w:style w:type="character" w:styleId="Hipervnculo">
    <w:name w:val="Hyperlink"/>
    <w:basedOn w:val="Fuentedeprrafopredeter"/>
    <w:uiPriority w:val="99"/>
    <w:unhideWhenUsed/>
    <w:rsid w:val="002A2485"/>
    <w:rPr>
      <w:color w:val="0563C1" w:themeColor="hyperlink"/>
      <w:u w:val="single"/>
    </w:rPr>
  </w:style>
  <w:style w:type="character" w:styleId="nfasis">
    <w:name w:val="Emphasis"/>
    <w:basedOn w:val="Fuentedeprrafopredeter"/>
    <w:uiPriority w:val="20"/>
    <w:qFormat/>
    <w:rsid w:val="00F143DD"/>
    <w:rPr>
      <w:i/>
      <w:iCs/>
    </w:rPr>
  </w:style>
  <w:style w:type="paragraph" w:styleId="NormalWeb">
    <w:name w:val="Normal (Web)"/>
    <w:basedOn w:val="Normal"/>
    <w:link w:val="NormalWebCar"/>
    <w:uiPriority w:val="99"/>
    <w:unhideWhenUsed/>
    <w:rsid w:val="0006556C"/>
    <w:pPr>
      <w:spacing w:before="100" w:beforeAutospacing="1" w:after="100" w:afterAutospacing="1" w:line="240" w:lineRule="auto"/>
    </w:pPr>
    <w:rPr>
      <w:rFonts w:ascii="Times New Roman" w:hAnsi="Times New Roman" w:eastAsia="Times New Roman"/>
      <w:szCs w:val="24"/>
      <w:lang w:eastAsia="es-CO"/>
    </w:rPr>
  </w:style>
  <w:style w:type="table" w:styleId="Tablaconcuadrcula">
    <w:name w:val="Table Grid"/>
    <w:basedOn w:val="Tablanormal"/>
    <w:uiPriority w:val="39"/>
    <w:rsid w:val="00456A9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a6" w:customStyle="1">
    <w:name w:val="pa6"/>
    <w:basedOn w:val="Normal"/>
    <w:rsid w:val="00BC08EE"/>
    <w:pPr>
      <w:spacing w:before="100" w:beforeAutospacing="1" w:after="100" w:afterAutospacing="1" w:line="240" w:lineRule="auto"/>
    </w:pPr>
    <w:rPr>
      <w:rFonts w:ascii="Times New Roman" w:hAnsi="Times New Roman" w:eastAsia="Times New Roman"/>
      <w:szCs w:val="24"/>
      <w:lang w:eastAsia="es-CO"/>
    </w:rPr>
  </w:style>
  <w:style w:type="paragraph" w:styleId="4GChar" w:customStyle="1">
    <w:name w:val="4_G Char"/>
    <w:aliases w:val="Appel note de bas de page Char,Appel note de bas de page Char Char Char Char Char Char Char Char Char Char Char Char Char Char Char Char Char Char Char,Appel note de bas de page Char Char Char Char"/>
    <w:basedOn w:val="Normal"/>
    <w:uiPriority w:val="99"/>
    <w:rsid w:val="00AE2738"/>
    <w:pPr>
      <w:spacing w:after="0" w:line="240" w:lineRule="auto"/>
      <w:jc w:val="both"/>
    </w:pPr>
    <w:rPr>
      <w:rFonts w:asciiTheme="minorHAnsi" w:hAnsiTheme="minorHAnsi" w:cstheme="minorBidi"/>
      <w:sz w:val="22"/>
      <w:vertAlign w:val="superscript"/>
    </w:rPr>
  </w:style>
  <w:style w:type="character" w:styleId="baj" w:customStyle="1">
    <w:name w:val="b_aj"/>
    <w:rsid w:val="00AE2738"/>
  </w:style>
  <w:style w:type="character" w:styleId="NormalWebCar" w:customStyle="1">
    <w:name w:val="Normal (Web) Car"/>
    <w:link w:val="NormalWeb"/>
    <w:uiPriority w:val="99"/>
    <w:locked/>
    <w:rsid w:val="009E1356"/>
    <w:rPr>
      <w:rFonts w:ascii="Times New Roman" w:hAnsi="Times New Roman" w:eastAsia="Times New Roman" w:cs="Times New Roman"/>
      <w:sz w:val="24"/>
      <w:szCs w:val="24"/>
      <w:lang w:eastAsia="es-CO"/>
    </w:rPr>
  </w:style>
  <w:style w:type="paragraph" w:styleId="Revisin">
    <w:name w:val="Revision"/>
    <w:hidden/>
    <w:uiPriority w:val="99"/>
    <w:semiHidden/>
    <w:rsid w:val="006048E5"/>
    <w:pPr>
      <w:spacing w:after="0" w:line="240" w:lineRule="auto"/>
    </w:pPr>
    <w:rPr>
      <w:rFonts w:ascii="Arial" w:hAnsi="Arial" w:cs="Times New Roman"/>
      <w:sz w:val="24"/>
    </w:rPr>
  </w:style>
  <w:style w:type="character" w:styleId="Refdecomentario">
    <w:name w:val="annotation reference"/>
    <w:basedOn w:val="Fuentedeprrafopredeter"/>
    <w:uiPriority w:val="99"/>
    <w:semiHidden/>
    <w:unhideWhenUsed/>
    <w:rsid w:val="001D4D4F"/>
    <w:rPr>
      <w:sz w:val="16"/>
      <w:szCs w:val="16"/>
    </w:rPr>
  </w:style>
  <w:style w:type="paragraph" w:styleId="Asuntodelcomentario">
    <w:name w:val="annotation subject"/>
    <w:basedOn w:val="Textocomentario"/>
    <w:next w:val="Textocomentario"/>
    <w:link w:val="AsuntodelcomentarioCar"/>
    <w:uiPriority w:val="99"/>
    <w:semiHidden/>
    <w:unhideWhenUsed/>
    <w:rsid w:val="001D4D4F"/>
    <w:rPr>
      <w:b/>
      <w:bCs/>
    </w:rPr>
  </w:style>
  <w:style w:type="character" w:styleId="AsuntodelcomentarioCar" w:customStyle="1">
    <w:name w:val="Asunto del comentario Car"/>
    <w:basedOn w:val="TextocomentarioCar"/>
    <w:link w:val="Asuntodelcomentario"/>
    <w:uiPriority w:val="99"/>
    <w:semiHidden/>
    <w:rsid w:val="001D4D4F"/>
    <w:rPr>
      <w:rFonts w:ascii="Arial" w:hAnsi="Arial" w:cs="Times New Roman"/>
      <w:b/>
      <w:bCs/>
      <w:sz w:val="20"/>
      <w:szCs w:val="20"/>
    </w:rPr>
  </w:style>
  <w:style w:type="character" w:styleId="TextonotapieCar1" w:customStyle="1">
    <w:name w:val="Texto nota pie Car1"/>
    <w:aliases w:val="Ref. de nota al pie1 Car,Ref. de nota al pie 2 Car,Texto de nota al pie Car,referencia nota al pie Car,Pie de Página Car,FC Car,Texto de nota al p Car,Pie de Pàgina Car,F Car,Pie de P_gin Car,Pie de P_ Car,Texto de nota al pi Car"/>
    <w:semiHidden/>
    <w:locked/>
    <w:rsid w:val="005717B0"/>
    <w:rPr>
      <w:rFonts w:ascii="Times New Roman" w:hAnsi="Times New Roman" w:eastAsia="Times New Roman" w:cs="Times New Roman"/>
      <w:sz w:val="20"/>
      <w:szCs w:val="20"/>
      <w:lang w:val="es-ES" w:eastAsia="es-ES"/>
    </w:rPr>
  </w:style>
  <w:style w:type="character" w:styleId="PrrafodelistaCar" w:customStyle="1">
    <w:name w:val="Párrafo de lista Car"/>
    <w:link w:val="Prrafodelista"/>
    <w:uiPriority w:val="34"/>
    <w:locked/>
    <w:rsid w:val="005717B0"/>
    <w:rPr>
      <w:rFonts w:ascii="Calibri" w:hAnsi="Calibri" w:eastAsia="Times New Roman" w:cs="Times New Roman"/>
    </w:rPr>
  </w:style>
  <w:style w:type="character" w:styleId="Textodelmarcadordeposicin">
    <w:name w:val="Placeholder Text"/>
    <w:basedOn w:val="Fuentedeprrafopredeter"/>
    <w:uiPriority w:val="99"/>
    <w:semiHidden/>
    <w:rsid w:val="00E663A2"/>
    <w:rPr>
      <w:color w:val="808080"/>
    </w:rPr>
  </w:style>
  <w:style w:type="paragraph" w:styleId="Textodeglobo">
    <w:name w:val="Balloon Text"/>
    <w:basedOn w:val="Normal"/>
    <w:link w:val="TextodegloboCar"/>
    <w:uiPriority w:val="99"/>
    <w:semiHidden/>
    <w:unhideWhenUsed/>
    <w:rsid w:val="008667D9"/>
    <w:pPr>
      <w:spacing w:after="0" w:line="240" w:lineRule="auto"/>
    </w:pPr>
    <w:rPr>
      <w:rFonts w:ascii="Segoe UI" w:hAnsi="Segoe UI" w:cs="Segoe UI"/>
      <w:sz w:val="18"/>
      <w:szCs w:val="18"/>
    </w:rPr>
  </w:style>
  <w:style w:type="character" w:styleId="TextodegloboCar" w:customStyle="1">
    <w:name w:val="Texto de globo Car"/>
    <w:basedOn w:val="Fuentedeprrafopredeter"/>
    <w:link w:val="Textodeglobo"/>
    <w:uiPriority w:val="99"/>
    <w:semiHidden/>
    <w:rsid w:val="008667D9"/>
    <w:rPr>
      <w:rFonts w:ascii="Segoe UI" w:hAnsi="Segoe UI" w:cs="Segoe UI"/>
      <w:sz w:val="18"/>
      <w:szCs w:val="18"/>
    </w:rPr>
  </w:style>
  <w:style w:type="character" w:styleId="Mencinsinresolver1" w:customStyle="1">
    <w:name w:val="Mención sin resolver1"/>
    <w:basedOn w:val="Fuentedeprrafopredeter"/>
    <w:uiPriority w:val="99"/>
    <w:semiHidden/>
    <w:unhideWhenUsed/>
    <w:rsid w:val="00694659"/>
    <w:rPr>
      <w:color w:val="605E5C"/>
      <w:shd w:val="clear" w:color="auto" w:fill="E1DFDD"/>
    </w:rPr>
  </w:style>
  <w:style w:type="paragraph" w:styleId="Textoindependiente">
    <w:name w:val="Body Text"/>
    <w:basedOn w:val="Normal"/>
    <w:link w:val="TextoindependienteCar"/>
    <w:uiPriority w:val="99"/>
    <w:rsid w:val="00DC340B"/>
    <w:pPr>
      <w:spacing w:after="0" w:line="480" w:lineRule="auto"/>
      <w:jc w:val="both"/>
    </w:pPr>
    <w:rPr>
      <w:rFonts w:ascii="Times New Roman" w:hAnsi="Times New Roman" w:eastAsia="Times New Roman" w:cs="Arial"/>
      <w:sz w:val="28"/>
      <w:szCs w:val="28"/>
      <w:lang w:val="es-ES_tradnl" w:eastAsia="es-ES"/>
    </w:rPr>
  </w:style>
  <w:style w:type="character" w:styleId="TextoindependienteCar" w:customStyle="1">
    <w:name w:val="Texto independiente Car"/>
    <w:basedOn w:val="Fuentedeprrafopredeter"/>
    <w:link w:val="Textoindependiente"/>
    <w:uiPriority w:val="99"/>
    <w:rsid w:val="00DC340B"/>
    <w:rPr>
      <w:rFonts w:ascii="Times New Roman" w:hAnsi="Times New Roman" w:eastAsia="Times New Roman" w:cs="Arial"/>
      <w:sz w:val="28"/>
      <w:szCs w:val="28"/>
      <w:lang w:val="es-ES_tradnl" w:eastAsia="es-ES"/>
    </w:rPr>
  </w:style>
  <w:style w:type="paragraph" w:styleId="Cuadrculamediana21" w:customStyle="1">
    <w:name w:val="Cuadrícula mediana 21"/>
    <w:uiPriority w:val="1"/>
    <w:qFormat/>
    <w:rsid w:val="00DC340B"/>
    <w:pPr>
      <w:spacing w:after="0" w:line="240" w:lineRule="auto"/>
    </w:pPr>
    <w:rPr>
      <w:rFonts w:ascii="Calibri" w:hAnsi="Calibri" w:eastAsia="Calibri" w:cs="Times New Roman"/>
      <w:lang w:val="es-ES"/>
    </w:rPr>
  </w:style>
  <w:style w:type="paragraph" w:styleId="centrado" w:customStyle="1">
    <w:name w:val="centrado"/>
    <w:basedOn w:val="Normal"/>
    <w:rsid w:val="0078189D"/>
    <w:pPr>
      <w:spacing w:before="100" w:beforeAutospacing="1" w:after="100" w:afterAutospacing="1" w:line="259" w:lineRule="auto"/>
    </w:pPr>
    <w:rPr>
      <w:rFonts w:ascii="Times New Roman" w:hAnsi="Times New Roman" w:eastAsia="Times New Roman"/>
      <w:szCs w:val="24"/>
      <w:lang w:eastAsia="es-CO"/>
    </w:rPr>
  </w:style>
  <w:style w:type="paragraph" w:styleId="Default" w:customStyle="1">
    <w:name w:val="Default"/>
    <w:rsid w:val="001C024B"/>
    <w:pPr>
      <w:autoSpaceDE w:val="0"/>
      <w:autoSpaceDN w:val="0"/>
      <w:adjustRightInd w:val="0"/>
      <w:spacing w:after="0" w:line="240" w:lineRule="auto"/>
    </w:pPr>
    <w:rPr>
      <w:rFonts w:ascii="Arial" w:hAnsi="Arial" w:cs="Arial"/>
      <w:color w:val="000000"/>
      <w:sz w:val="24"/>
      <w:szCs w:val="24"/>
    </w:rPr>
  </w:style>
  <w:style w:type="paragraph" w:styleId="Textoindependiente3">
    <w:name w:val="Body Text 3"/>
    <w:basedOn w:val="Normal"/>
    <w:link w:val="Textoindependiente3Car"/>
    <w:uiPriority w:val="99"/>
    <w:semiHidden/>
    <w:unhideWhenUsed/>
    <w:rsid w:val="0071006E"/>
    <w:pPr>
      <w:spacing w:after="120"/>
    </w:pPr>
    <w:rPr>
      <w:sz w:val="16"/>
      <w:szCs w:val="16"/>
    </w:rPr>
  </w:style>
  <w:style w:type="character" w:styleId="Textoindependiente3Car" w:customStyle="1">
    <w:name w:val="Texto independiente 3 Car"/>
    <w:basedOn w:val="Fuentedeprrafopredeter"/>
    <w:link w:val="Textoindependiente3"/>
    <w:uiPriority w:val="99"/>
    <w:semiHidden/>
    <w:rsid w:val="0071006E"/>
    <w:rPr>
      <w:rFonts w:ascii="Arial" w:hAnsi="Arial" w:cs="Times New Roman"/>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0465543">
      <w:bodyDiv w:val="1"/>
      <w:marLeft w:val="0"/>
      <w:marRight w:val="0"/>
      <w:marTop w:val="0"/>
      <w:marBottom w:val="0"/>
      <w:divBdr>
        <w:top w:val="none" w:sz="0" w:space="0" w:color="auto"/>
        <w:left w:val="none" w:sz="0" w:space="0" w:color="auto"/>
        <w:bottom w:val="none" w:sz="0" w:space="0" w:color="auto"/>
        <w:right w:val="none" w:sz="0" w:space="0" w:color="auto"/>
      </w:divBdr>
    </w:div>
    <w:div w:id="222717247">
      <w:bodyDiv w:val="1"/>
      <w:marLeft w:val="0"/>
      <w:marRight w:val="0"/>
      <w:marTop w:val="0"/>
      <w:marBottom w:val="0"/>
      <w:divBdr>
        <w:top w:val="none" w:sz="0" w:space="0" w:color="auto"/>
        <w:left w:val="none" w:sz="0" w:space="0" w:color="auto"/>
        <w:bottom w:val="none" w:sz="0" w:space="0" w:color="auto"/>
        <w:right w:val="none" w:sz="0" w:space="0" w:color="auto"/>
      </w:divBdr>
    </w:div>
    <w:div w:id="872619753">
      <w:bodyDiv w:val="1"/>
      <w:marLeft w:val="0"/>
      <w:marRight w:val="0"/>
      <w:marTop w:val="0"/>
      <w:marBottom w:val="0"/>
      <w:divBdr>
        <w:top w:val="none" w:sz="0" w:space="0" w:color="auto"/>
        <w:left w:val="none" w:sz="0" w:space="0" w:color="auto"/>
        <w:bottom w:val="none" w:sz="0" w:space="0" w:color="auto"/>
        <w:right w:val="none" w:sz="0" w:space="0" w:color="auto"/>
      </w:divBdr>
    </w:div>
    <w:div w:id="1018431044">
      <w:bodyDiv w:val="1"/>
      <w:marLeft w:val="0"/>
      <w:marRight w:val="0"/>
      <w:marTop w:val="0"/>
      <w:marBottom w:val="0"/>
      <w:divBdr>
        <w:top w:val="none" w:sz="0" w:space="0" w:color="auto"/>
        <w:left w:val="none" w:sz="0" w:space="0" w:color="auto"/>
        <w:bottom w:val="none" w:sz="0" w:space="0" w:color="auto"/>
        <w:right w:val="none" w:sz="0" w:space="0" w:color="auto"/>
      </w:divBdr>
    </w:div>
    <w:div w:id="1290286788">
      <w:bodyDiv w:val="1"/>
      <w:marLeft w:val="0"/>
      <w:marRight w:val="0"/>
      <w:marTop w:val="0"/>
      <w:marBottom w:val="0"/>
      <w:divBdr>
        <w:top w:val="none" w:sz="0" w:space="0" w:color="auto"/>
        <w:left w:val="none" w:sz="0" w:space="0" w:color="auto"/>
        <w:bottom w:val="none" w:sz="0" w:space="0" w:color="auto"/>
        <w:right w:val="none" w:sz="0" w:space="0" w:color="auto"/>
      </w:divBdr>
    </w:div>
    <w:div w:id="1340932652">
      <w:bodyDiv w:val="1"/>
      <w:marLeft w:val="0"/>
      <w:marRight w:val="0"/>
      <w:marTop w:val="0"/>
      <w:marBottom w:val="0"/>
      <w:divBdr>
        <w:top w:val="none" w:sz="0" w:space="0" w:color="auto"/>
        <w:left w:val="none" w:sz="0" w:space="0" w:color="auto"/>
        <w:bottom w:val="none" w:sz="0" w:space="0" w:color="auto"/>
        <w:right w:val="none" w:sz="0" w:space="0" w:color="auto"/>
      </w:divBdr>
    </w:div>
    <w:div w:id="1375424026">
      <w:bodyDiv w:val="1"/>
      <w:marLeft w:val="0"/>
      <w:marRight w:val="0"/>
      <w:marTop w:val="0"/>
      <w:marBottom w:val="0"/>
      <w:divBdr>
        <w:top w:val="none" w:sz="0" w:space="0" w:color="auto"/>
        <w:left w:val="none" w:sz="0" w:space="0" w:color="auto"/>
        <w:bottom w:val="none" w:sz="0" w:space="0" w:color="auto"/>
        <w:right w:val="none" w:sz="0" w:space="0" w:color="auto"/>
      </w:divBdr>
    </w:div>
    <w:div w:id="1704475986">
      <w:bodyDiv w:val="1"/>
      <w:marLeft w:val="0"/>
      <w:marRight w:val="0"/>
      <w:marTop w:val="0"/>
      <w:marBottom w:val="0"/>
      <w:divBdr>
        <w:top w:val="none" w:sz="0" w:space="0" w:color="auto"/>
        <w:left w:val="none" w:sz="0" w:space="0" w:color="auto"/>
        <w:bottom w:val="none" w:sz="0" w:space="0" w:color="auto"/>
        <w:right w:val="none" w:sz="0" w:space="0" w:color="auto"/>
      </w:divBdr>
    </w:div>
    <w:div w:id="1745449565">
      <w:bodyDiv w:val="1"/>
      <w:marLeft w:val="0"/>
      <w:marRight w:val="0"/>
      <w:marTop w:val="0"/>
      <w:marBottom w:val="0"/>
      <w:divBdr>
        <w:top w:val="none" w:sz="0" w:space="0" w:color="auto"/>
        <w:left w:val="none" w:sz="0" w:space="0" w:color="auto"/>
        <w:bottom w:val="none" w:sz="0" w:space="0" w:color="auto"/>
        <w:right w:val="none" w:sz="0" w:space="0" w:color="auto"/>
      </w:divBdr>
    </w:div>
    <w:div w:id="1971588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customXml" Target="../customXml/item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ustomXml" Target="../customXml/item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DB6E99F197AD64592D4C5471D80F0D8" ma:contentTypeVersion="20" ma:contentTypeDescription="Crear nuevo documento." ma:contentTypeScope="" ma:versionID="9b53e632aa26b86e519e440f7259eed8">
  <xsd:schema xmlns:xsd="http://www.w3.org/2001/XMLSchema" xmlns:xs="http://www.w3.org/2001/XMLSchema" xmlns:p="http://schemas.microsoft.com/office/2006/metadata/properties" xmlns:ns2="f5ff21b6-e9ef-49b6-bb70-296eeead8870" xmlns:ns3="1d22ca7f-6992-4f8a-9fd2-9f8d60e05b61" targetNamespace="http://schemas.microsoft.com/office/2006/metadata/properties" ma:root="true" ma:fieldsID="f7f0921476a6ae60b293105837d9d72a" ns2:_="" ns3:_="">
    <xsd:import namespace="f5ff21b6-e9ef-49b6-bb70-296eeead8870"/>
    <xsd:import namespace="1d22ca7f-6992-4f8a-9fd2-9f8d60e05b6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Fecha"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ff21b6-e9ef-49b6-bb70-296eeead88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0dc4aa63-3069-4f5e-8acb-986e2ea25e6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echa" ma:index="25" nillable="true" ma:displayName="Fecha" ma:format="DateOnly" ma:internalName="Fecha">
      <xsd:simpleType>
        <xsd:restriction base="dms:DateTime"/>
      </xsd:simpleType>
    </xsd:element>
    <xsd:element name="MediaServiceLocation" ma:index="26" nillable="true" ma:displayName="Location" ma:description="" ma:indexed="true" ma:internalName="MediaServiceLocation"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d22ca7f-6992-4f8a-9fd2-9f8d60e05b61"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138eff2c-4d5c-4e16-a16b-c7908ef43b04}" ma:internalName="TaxCatchAll" ma:showField="CatchAllData" ma:web="1d22ca7f-6992-4f8a-9fd2-9f8d60e05b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d22ca7f-6992-4f8a-9fd2-9f8d60e05b61" xsi:nil="true"/>
    <Fecha xmlns="f5ff21b6-e9ef-49b6-bb70-296eeead8870" xsi:nil="true"/>
    <lcf76f155ced4ddcb4097134ff3c332f xmlns="f5ff21b6-e9ef-49b6-bb70-296eeead887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E2B1E04-9ACE-49F2-AA5E-99F97487888B}">
  <ds:schemaRefs>
    <ds:schemaRef ds:uri="http://schemas.openxmlformats.org/officeDocument/2006/bibliography"/>
  </ds:schemaRefs>
</ds:datastoreItem>
</file>

<file path=customXml/itemProps2.xml><?xml version="1.0" encoding="utf-8"?>
<ds:datastoreItem xmlns:ds="http://schemas.openxmlformats.org/officeDocument/2006/customXml" ds:itemID="{3758A233-5435-47BD-BE36-9FE726AF5422}"/>
</file>

<file path=customXml/itemProps3.xml><?xml version="1.0" encoding="utf-8"?>
<ds:datastoreItem xmlns:ds="http://schemas.openxmlformats.org/officeDocument/2006/customXml" ds:itemID="{F500977C-BF72-4310-9CAA-FA8BC5BF9C44}"/>
</file>

<file path=customXml/itemProps4.xml><?xml version="1.0" encoding="utf-8"?>
<ds:datastoreItem xmlns:ds="http://schemas.openxmlformats.org/officeDocument/2006/customXml" ds:itemID="{4B68860B-EDC3-4310-9F97-DB632EB6862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CONSEJO SUPERIOR DE LA JUDICATURA</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Daniela Martinez Guerrero</dc:creator>
  <cp:lastModifiedBy>Carlos Andres Cuastumal Patino</cp:lastModifiedBy>
  <cp:revision>3</cp:revision>
  <cp:lastPrinted>2022-03-23T21:49:00Z</cp:lastPrinted>
  <dcterms:created xsi:type="dcterms:W3CDTF">2022-09-08T13:40:00Z</dcterms:created>
  <dcterms:modified xsi:type="dcterms:W3CDTF">2025-12-17T14:42:29Z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0x0101006DB6E99F197AD64592D4C5471D80F0D8</vt:lpwstr>
  </property>
  <property fmtid="{D5CDD505-2E9C-101B-9397-08002B2CF9AE}" pid="3" name="MediaServiceImageTags">
    <vt:lpwstr/>
  </property>
</Properties>
</file>