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C557" w14:textId="77777777" w:rsidR="000F5C99" w:rsidRPr="00741DF1" w:rsidRDefault="000F5C99" w:rsidP="000F5C99">
      <w:pPr>
        <w:jc w:val="both"/>
        <w:rPr>
          <w:rFonts w:ascii="Century Gothic" w:hAnsi="Century Gothic"/>
          <w:b/>
          <w:bCs/>
          <w:sz w:val="24"/>
          <w:szCs w:val="24"/>
          <w:lang w:val="es-ES"/>
        </w:rPr>
      </w:pPr>
      <w:r w:rsidRPr="00741DF1">
        <w:rPr>
          <w:rFonts w:ascii="Century Gothic" w:hAnsi="Century Gothic"/>
          <w:b/>
          <w:bCs/>
          <w:sz w:val="24"/>
          <w:szCs w:val="24"/>
          <w:lang w:val="es-ES"/>
        </w:rPr>
        <w:t>ESTRATEGIA PARA LA PREVENCION DEL BULLYING DIVERSO – TRANSFORMAR</w:t>
      </w:r>
    </w:p>
    <w:p w14:paraId="7D94993B" w14:textId="77777777" w:rsidR="000F5C99" w:rsidRPr="00741DF1" w:rsidRDefault="000F5C99" w:rsidP="000F5C99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741DF1">
        <w:rPr>
          <w:rFonts w:ascii="Century Gothic" w:hAnsi="Century Gothic"/>
          <w:sz w:val="24"/>
          <w:szCs w:val="24"/>
          <w:lang w:val="es-ES"/>
        </w:rPr>
        <w:t xml:space="preserve">Descripción: La estrategia Transformar es una iniciativa para prevenir el </w:t>
      </w:r>
      <w:proofErr w:type="spellStart"/>
      <w:r w:rsidRPr="00741DF1">
        <w:rPr>
          <w:rFonts w:ascii="Century Gothic" w:hAnsi="Century Gothic"/>
          <w:sz w:val="24"/>
          <w:szCs w:val="24"/>
          <w:lang w:val="es-ES"/>
        </w:rPr>
        <w:t>bullying</w:t>
      </w:r>
      <w:proofErr w:type="spellEnd"/>
      <w:r w:rsidRPr="00741DF1">
        <w:rPr>
          <w:rFonts w:ascii="Century Gothic" w:hAnsi="Century Gothic"/>
          <w:sz w:val="24"/>
          <w:szCs w:val="24"/>
          <w:lang w:val="es-ES"/>
        </w:rPr>
        <w:t xml:space="preserve"> motivado por la orientación sexual, identidad o expresión de género diversa (</w:t>
      </w:r>
      <w:proofErr w:type="spellStart"/>
      <w:r w:rsidRPr="00741DF1">
        <w:rPr>
          <w:rFonts w:ascii="Century Gothic" w:hAnsi="Century Gothic"/>
          <w:sz w:val="24"/>
          <w:szCs w:val="24"/>
          <w:lang w:val="es-ES"/>
        </w:rPr>
        <w:t>bullying</w:t>
      </w:r>
      <w:proofErr w:type="spellEnd"/>
      <w:r w:rsidRPr="00741DF1">
        <w:rPr>
          <w:rFonts w:ascii="Century Gothic" w:hAnsi="Century Gothic"/>
          <w:sz w:val="24"/>
          <w:szCs w:val="24"/>
          <w:lang w:val="es-ES"/>
        </w:rPr>
        <w:t xml:space="preserve"> diverso) en entornos educativos. Busca promover el respeto, la inclusión y la garantía de derechos de niñas, niños, adolescentes y jóvenes OSIGD-LGBTIQ+, a través de acciones pedagógicas, comunicativas e institucionales que fomentan entornos libres de discriminación.</w:t>
      </w:r>
    </w:p>
    <w:p w14:paraId="48C76BBD" w14:textId="77777777" w:rsidR="000F5C99" w:rsidRPr="00741DF1" w:rsidRDefault="000F5C99" w:rsidP="000F5C99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741DF1">
        <w:rPr>
          <w:rFonts w:ascii="Century Gothic" w:hAnsi="Century Gothic"/>
          <w:sz w:val="24"/>
          <w:szCs w:val="24"/>
          <w:lang w:val="es-ES"/>
        </w:rPr>
        <w:t xml:space="preserve">Basada en los enfoques de derechos humanos, género e interseccionalidad, Transformar articula talleres, campañas y herramientas dirigidas a estudiantes, docentes, familias y personal administrativo. Además, establece rutas claras para la detección, atención y acompañamiento de casos de acoso escolar, fortaleciendo así la convivencia escolar y la protección de la diversidad. </w:t>
      </w:r>
    </w:p>
    <w:p w14:paraId="257CFC84" w14:textId="77777777" w:rsidR="000F5C99" w:rsidRPr="00741DF1" w:rsidRDefault="000F5C99" w:rsidP="000F5C99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0F5C99">
        <w:rPr>
          <w:rFonts w:ascii="Century Gothic" w:hAnsi="Century Gothic"/>
          <w:b/>
          <w:bCs/>
          <w:sz w:val="24"/>
          <w:szCs w:val="24"/>
          <w:lang w:val="es-ES"/>
        </w:rPr>
        <w:t xml:space="preserve">Población Beneficiada: </w:t>
      </w:r>
      <w:r w:rsidRPr="00741DF1">
        <w:rPr>
          <w:rFonts w:ascii="Century Gothic" w:hAnsi="Century Gothic"/>
          <w:sz w:val="24"/>
          <w:szCs w:val="24"/>
          <w:lang w:val="es-ES"/>
        </w:rPr>
        <w:t xml:space="preserve">672 personas </w:t>
      </w:r>
    </w:p>
    <w:p w14:paraId="46F01909" w14:textId="77777777" w:rsidR="000F5C99" w:rsidRPr="00741DF1" w:rsidRDefault="000F5C99" w:rsidP="000F5C99">
      <w:pPr>
        <w:jc w:val="both"/>
        <w:rPr>
          <w:rFonts w:ascii="Century Gothic" w:hAnsi="Century Gothic"/>
          <w:sz w:val="24"/>
          <w:szCs w:val="24"/>
          <w:lang w:val="es-ES"/>
        </w:rPr>
      </w:pPr>
      <w:r w:rsidRPr="000F5C99">
        <w:rPr>
          <w:rFonts w:ascii="Century Gothic" w:hAnsi="Century Gothic"/>
          <w:b/>
          <w:bCs/>
          <w:sz w:val="24"/>
          <w:szCs w:val="24"/>
          <w:lang w:val="es-ES"/>
        </w:rPr>
        <w:t>Municipios Impactados:</w:t>
      </w:r>
      <w:r w:rsidRPr="00741DF1">
        <w:rPr>
          <w:rFonts w:ascii="Century Gothic" w:hAnsi="Century Gothic"/>
          <w:sz w:val="24"/>
          <w:szCs w:val="24"/>
          <w:lang w:val="es-ES"/>
        </w:rPr>
        <w:t xml:space="preserve"> </w:t>
      </w:r>
      <w:proofErr w:type="spellStart"/>
      <w:r w:rsidRPr="00741DF1">
        <w:rPr>
          <w:rFonts w:ascii="Century Gothic" w:hAnsi="Century Gothic"/>
          <w:sz w:val="24"/>
          <w:szCs w:val="24"/>
          <w:lang w:val="es-ES"/>
        </w:rPr>
        <w:t>Oicata</w:t>
      </w:r>
      <w:proofErr w:type="spellEnd"/>
      <w:r w:rsidRPr="00741DF1">
        <w:rPr>
          <w:rFonts w:ascii="Century Gothic" w:hAnsi="Century Gothic"/>
          <w:sz w:val="24"/>
          <w:szCs w:val="24"/>
          <w:lang w:val="es-ES"/>
        </w:rPr>
        <w:t xml:space="preserve">, Ventaquemada, Soata, Combita, Otanche, Arcabuco, </w:t>
      </w:r>
      <w:proofErr w:type="spellStart"/>
      <w:r w:rsidRPr="00741DF1">
        <w:rPr>
          <w:rFonts w:ascii="Century Gothic" w:hAnsi="Century Gothic"/>
          <w:sz w:val="24"/>
          <w:szCs w:val="24"/>
          <w:lang w:val="es-ES"/>
        </w:rPr>
        <w:t>Sutamarchan</w:t>
      </w:r>
      <w:proofErr w:type="spellEnd"/>
      <w:r w:rsidRPr="00741DF1">
        <w:rPr>
          <w:rFonts w:ascii="Century Gothic" w:hAnsi="Century Gothic"/>
          <w:sz w:val="24"/>
          <w:szCs w:val="24"/>
          <w:lang w:val="es-ES"/>
        </w:rPr>
        <w:t xml:space="preserve">, Puerto Boyacá, </w:t>
      </w:r>
      <w:proofErr w:type="spellStart"/>
      <w:r w:rsidRPr="00741DF1">
        <w:rPr>
          <w:rFonts w:ascii="Century Gothic" w:hAnsi="Century Gothic"/>
          <w:sz w:val="24"/>
          <w:szCs w:val="24"/>
          <w:lang w:val="es-ES"/>
        </w:rPr>
        <w:t>Tinjaca</w:t>
      </w:r>
      <w:proofErr w:type="spellEnd"/>
      <w:r w:rsidRPr="00741DF1">
        <w:rPr>
          <w:rFonts w:ascii="Century Gothic" w:hAnsi="Century Gothic"/>
          <w:sz w:val="24"/>
          <w:szCs w:val="24"/>
          <w:lang w:val="es-ES"/>
        </w:rPr>
        <w:t xml:space="preserve">, El Espino, </w:t>
      </w:r>
      <w:proofErr w:type="spellStart"/>
      <w:r w:rsidRPr="00741DF1">
        <w:rPr>
          <w:rFonts w:ascii="Century Gothic" w:hAnsi="Century Gothic"/>
          <w:sz w:val="24"/>
          <w:szCs w:val="24"/>
          <w:lang w:val="es-ES"/>
        </w:rPr>
        <w:t>Viracacha</w:t>
      </w:r>
      <w:proofErr w:type="spellEnd"/>
      <w:r w:rsidRPr="00741DF1">
        <w:rPr>
          <w:rFonts w:ascii="Century Gothic" w:hAnsi="Century Gothic"/>
          <w:sz w:val="24"/>
          <w:szCs w:val="24"/>
          <w:lang w:val="es-ES"/>
        </w:rPr>
        <w:t>.</w:t>
      </w:r>
    </w:p>
    <w:p w14:paraId="33B19E07" w14:textId="77777777" w:rsidR="007239AD" w:rsidRDefault="007239AD"/>
    <w:sectPr w:rsidR="007239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99"/>
    <w:rsid w:val="000F5C99"/>
    <w:rsid w:val="0011071A"/>
    <w:rsid w:val="0056757F"/>
    <w:rsid w:val="007239AD"/>
    <w:rsid w:val="00830C44"/>
    <w:rsid w:val="00B5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B5F51"/>
  <w15:chartTrackingRefBased/>
  <w15:docId w15:val="{49547604-94A6-4DE8-AAC9-24B4383A3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C99"/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F5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5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5C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5C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C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5C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5C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5C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5C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5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5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5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5C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C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5C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5C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5C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5C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5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F5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5C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F5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5C9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F5C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5C99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F5C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5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5C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5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CHAPARRO</dc:creator>
  <cp:keywords/>
  <dc:description/>
  <cp:lastModifiedBy>CAMILO CHAPARRO</cp:lastModifiedBy>
  <cp:revision>1</cp:revision>
  <dcterms:created xsi:type="dcterms:W3CDTF">2025-08-14T00:35:00Z</dcterms:created>
  <dcterms:modified xsi:type="dcterms:W3CDTF">2025-08-14T00:36:00Z</dcterms:modified>
</cp:coreProperties>
</file>