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D4E65" w14:textId="77777777" w:rsidR="009B37B7" w:rsidRPr="00741DF1" w:rsidRDefault="009B37B7" w:rsidP="009B37B7">
      <w:pPr>
        <w:pStyle w:val="NormalWeb"/>
        <w:spacing w:line="276" w:lineRule="auto"/>
        <w:jc w:val="both"/>
        <w:rPr>
          <w:rFonts w:ascii="Century Gothic" w:hAnsi="Century Gothic" w:cs="Calibri Light"/>
          <w:b/>
          <w:bCs/>
        </w:rPr>
      </w:pPr>
      <w:r w:rsidRPr="00741DF1">
        <w:rPr>
          <w:rFonts w:ascii="Century Gothic" w:hAnsi="Century Gothic" w:cs="Calibri Light"/>
          <w:b/>
          <w:bCs/>
        </w:rPr>
        <w:t xml:space="preserve">Conmemoración del día de la mujer 2025 – Mujeres que hacen historia y Construyen futuro – IMPARABLES </w:t>
      </w:r>
    </w:p>
    <w:p w14:paraId="35054CFD" w14:textId="77777777" w:rsidR="009B37B7" w:rsidRPr="00741DF1" w:rsidRDefault="009B37B7" w:rsidP="009B37B7">
      <w:pPr>
        <w:pStyle w:val="Prrafodelista"/>
        <w:spacing w:line="276" w:lineRule="auto"/>
        <w:ind w:left="1440"/>
        <w:jc w:val="both"/>
        <w:rPr>
          <w:rFonts w:ascii="Century Gothic" w:eastAsia="Century Gothic" w:hAnsi="Century Gothic" w:cs="Century Gothic"/>
        </w:rPr>
      </w:pPr>
      <w:r w:rsidRPr="00741DF1">
        <w:rPr>
          <w:rFonts w:ascii="Century Gothic" w:hAnsi="Century Gothic" w:cs="Calibri Light"/>
          <w:b/>
          <w:bCs/>
        </w:rPr>
        <w:t xml:space="preserve">Descripción: </w:t>
      </w:r>
      <w:r w:rsidRPr="00741DF1">
        <w:rPr>
          <w:rFonts w:ascii="Century Gothic" w:hAnsi="Century Gothic" w:cs="Calibri Light"/>
        </w:rPr>
        <w:t xml:space="preserve">Despliegue de actividades y estrategias para promocionar la reivindicación de los derechos de las mujeres, reconocer lo logros y aportes de las mujeres en los avances por igualdad de género, en el año 2025 se realizó la carrera IMPARABLES impactando a 2.877 personas, el desarrollo de un panel de Mujeres Imparables en el que se resaltó las luchas, liderazgos, visión y empoderamiento de las mujeres a través de charlas con mujeres lideresas, empresarias y del sector justicia, en el cual participaron 400 personas. Así mismo se desarrolló una feria </w:t>
      </w:r>
      <w:r w:rsidRPr="00741DF1">
        <w:rPr>
          <w:rFonts w:ascii="Century Gothic" w:eastAsia="Calibri" w:hAnsi="Century Gothic" w:cs="Calibri Light"/>
        </w:rPr>
        <w:t>de emprendimientos femeninos en la plaza de Bolívar de la ciudad de Tunja en el marco de la conmemoración,</w:t>
      </w:r>
      <w:r w:rsidRPr="00741DF1">
        <w:rPr>
          <w:rFonts w:ascii="Century Gothic" w:hAnsi="Century Gothic" w:cs="Calibri Light"/>
        </w:rPr>
        <w:t xml:space="preserve"> se contó con </w:t>
      </w:r>
      <w:r w:rsidRPr="00741DF1">
        <w:rPr>
          <w:rFonts w:ascii="Century Gothic" w:eastAsia="Calibri" w:hAnsi="Century Gothic" w:cs="Calibri Light"/>
        </w:rPr>
        <w:t xml:space="preserve">la participación de 40 emprendedoras del departamento de Boyacá de los municipios de Samacá, Duitama, </w:t>
      </w:r>
      <w:proofErr w:type="spellStart"/>
      <w:r w:rsidRPr="00741DF1">
        <w:rPr>
          <w:rFonts w:ascii="Century Gothic" w:eastAsia="Calibri" w:hAnsi="Century Gothic" w:cs="Calibri Light"/>
        </w:rPr>
        <w:t>Chitaraque</w:t>
      </w:r>
      <w:proofErr w:type="spellEnd"/>
      <w:r w:rsidRPr="00741DF1">
        <w:rPr>
          <w:rFonts w:ascii="Century Gothic" w:eastAsia="Calibri" w:hAnsi="Century Gothic" w:cs="Calibri Light"/>
        </w:rPr>
        <w:t xml:space="preserve">, Arcabuco, Cómbita, Tunja, </w:t>
      </w:r>
      <w:proofErr w:type="spellStart"/>
      <w:r w:rsidRPr="00741DF1">
        <w:rPr>
          <w:rFonts w:ascii="Century Gothic" w:eastAsia="Calibri" w:hAnsi="Century Gothic" w:cs="Calibri Light"/>
        </w:rPr>
        <w:t>Gachantiva</w:t>
      </w:r>
      <w:proofErr w:type="spellEnd"/>
      <w:r w:rsidRPr="00741DF1">
        <w:rPr>
          <w:rFonts w:ascii="Century Gothic" w:eastAsia="Calibri" w:hAnsi="Century Gothic" w:cs="Calibri Light"/>
        </w:rPr>
        <w:t xml:space="preserve">, </w:t>
      </w:r>
      <w:proofErr w:type="spellStart"/>
      <w:r w:rsidRPr="00741DF1">
        <w:rPr>
          <w:rFonts w:ascii="Century Gothic" w:eastAsia="Calibri" w:hAnsi="Century Gothic" w:cs="Calibri Light"/>
        </w:rPr>
        <w:t>Tunungua</w:t>
      </w:r>
      <w:proofErr w:type="spellEnd"/>
      <w:r w:rsidRPr="00741DF1">
        <w:rPr>
          <w:rFonts w:ascii="Century Gothic" w:eastAsia="Calibri" w:hAnsi="Century Gothic" w:cs="Calibri Light"/>
        </w:rPr>
        <w:t xml:space="preserve">, </w:t>
      </w:r>
      <w:proofErr w:type="spellStart"/>
      <w:r w:rsidRPr="00741DF1">
        <w:rPr>
          <w:rFonts w:ascii="Century Gothic" w:eastAsia="Calibri" w:hAnsi="Century Gothic" w:cs="Calibri Light"/>
        </w:rPr>
        <w:t>Toguí</w:t>
      </w:r>
      <w:proofErr w:type="spellEnd"/>
      <w:r w:rsidRPr="00741DF1">
        <w:rPr>
          <w:rFonts w:ascii="Century Gothic" w:eastAsia="Calibri" w:hAnsi="Century Gothic" w:cs="Calibri Light"/>
        </w:rPr>
        <w:t>, Tuta, Ramiriquí, Paipa</w:t>
      </w:r>
      <w:r w:rsidRPr="00741DF1">
        <w:rPr>
          <w:rFonts w:ascii="Century Gothic" w:hAnsi="Century Gothic" w:cs="Calibri Light"/>
        </w:rPr>
        <w:t>, un c</w:t>
      </w:r>
      <w:r w:rsidRPr="00741DF1">
        <w:rPr>
          <w:rFonts w:ascii="Century Gothic" w:eastAsia="Calibri" w:hAnsi="Century Gothic" w:cs="Calibri Light"/>
        </w:rPr>
        <w:t xml:space="preserve">octel de reconocimiento a la mujeres exaltando el </w:t>
      </w:r>
      <w:r w:rsidRPr="00741DF1">
        <w:rPr>
          <w:rFonts w:ascii="Century Gothic" w:eastAsia="Century Gothic" w:hAnsi="Century Gothic" w:cs="Century Gothic"/>
        </w:rPr>
        <w:t>invaluable aporte de las mujeres que con su liderazgo, resiliencia y compromiso, hacen historia y construyen futuro.</w:t>
      </w:r>
    </w:p>
    <w:p w14:paraId="276746A6" w14:textId="77777777" w:rsidR="009B37B7" w:rsidRPr="00741DF1" w:rsidRDefault="009B37B7" w:rsidP="009B37B7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Century Gothic" w:eastAsia="Century Gothic" w:hAnsi="Century Gothic" w:cs="Century Gothic"/>
        </w:rPr>
      </w:pPr>
      <w:r w:rsidRPr="00741DF1">
        <w:rPr>
          <w:rFonts w:ascii="Century Gothic" w:eastAsia="Century Gothic" w:hAnsi="Century Gothic" w:cs="Century Gothic"/>
          <w:b/>
          <w:bCs/>
        </w:rPr>
        <w:t>Población beneficiada:</w:t>
      </w:r>
      <w:r w:rsidRPr="00741DF1">
        <w:rPr>
          <w:rFonts w:ascii="Century Gothic" w:eastAsia="Century Gothic" w:hAnsi="Century Gothic" w:cs="Century Gothic"/>
        </w:rPr>
        <w:t xml:space="preserve">  3.381 </w:t>
      </w:r>
    </w:p>
    <w:p w14:paraId="400E25BF" w14:textId="77777777" w:rsidR="009B37B7" w:rsidRDefault="009B37B7" w:rsidP="009B37B7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Century Gothic" w:eastAsia="Century Gothic" w:hAnsi="Century Gothic" w:cs="Century Gothic"/>
        </w:rPr>
      </w:pPr>
      <w:r w:rsidRPr="00741DF1">
        <w:rPr>
          <w:rFonts w:ascii="Century Gothic" w:eastAsia="Century Gothic" w:hAnsi="Century Gothic" w:cs="Century Gothic"/>
          <w:b/>
          <w:bCs/>
        </w:rPr>
        <w:t>Municipio:</w:t>
      </w:r>
      <w:r w:rsidRPr="00741DF1">
        <w:rPr>
          <w:rFonts w:ascii="Century Gothic" w:eastAsia="Century Gothic" w:hAnsi="Century Gothic" w:cs="Century Gothic"/>
        </w:rPr>
        <w:t xml:space="preserve"> Tunja</w:t>
      </w:r>
    </w:p>
    <w:p w14:paraId="7C97036D" w14:textId="77777777" w:rsidR="007239AD" w:rsidRDefault="007239AD"/>
    <w:sectPr w:rsidR="007239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2541"/>
    <w:multiLevelType w:val="hybridMultilevel"/>
    <w:tmpl w:val="DF30E196"/>
    <w:lvl w:ilvl="0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000000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621645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7B7"/>
    <w:rsid w:val="0011071A"/>
    <w:rsid w:val="0056757F"/>
    <w:rsid w:val="007239AD"/>
    <w:rsid w:val="00830C44"/>
    <w:rsid w:val="009B37B7"/>
    <w:rsid w:val="00B5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3ED7E"/>
  <w15:chartTrackingRefBased/>
  <w15:docId w15:val="{C5197037-01EB-4307-A074-9DD14B6D7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3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3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37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3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37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3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3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3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3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37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37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37B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37B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37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37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37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37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3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3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3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3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37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37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37B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37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37B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37B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B3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CHAPARRO</dc:creator>
  <cp:keywords/>
  <dc:description/>
  <cp:lastModifiedBy>CAMILO CHAPARRO</cp:lastModifiedBy>
  <cp:revision>1</cp:revision>
  <dcterms:created xsi:type="dcterms:W3CDTF">2025-08-13T23:01:00Z</dcterms:created>
  <dcterms:modified xsi:type="dcterms:W3CDTF">2025-08-13T23:01:00Z</dcterms:modified>
</cp:coreProperties>
</file>