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 xml:space="preserve">Anexo IA — Etapa 2 (Datos masivos)</w:t>
      </w:r>
    </w:p>
    <w:p>
      <w:r>
        <w:rPr>
          <w:b/>
        </w:rPr>
        <w:t xml:space="preserve">Herramienta utilizada:</w:t>
      </w:r>
      <w:r>
        <w:t xml:space="preserve"> Claude (Anthropic), vía Claude Code, como tutor para diseñar la estrategia de carga masiva y depurar los scripts SQL.</w:t>
      </w:r>
    </w:p>
    <w:p>
      <w:pPr>
        <w:pStyle w:val="Quote"/>
      </w:pPr>
      <w:r>
        <w:t xml:space="preserve">Nota: este anexo resume la interacción real mantenida con el asistente de IA durante el desarrollo de la Etapa 2. Se presenta en formato texto (resumen de la sesión), según lo solicitado en la consigna del TFI.</w:t>
      </w:r>
    </w:p>
    <w:p>
      <w:pPr>
        <w:pStyle w:val="Heading2"/>
      </w:pPr>
      <w:r>
        <w:t xml:space="preserve">Resumen de la interacción</w:t>
      </w:r>
    </w:p>
    <w:p>
      <w:r>
        <w:rPr>
          <w:b/>
        </w:rPr>
        <w:t xml:space="preserve">Consulta inicial:</w:t>
      </w:r>
      <w:r>
        <w:t xml:space="preserve"> se le pidió al asistente diseñar </w:t>
      </w:r>
      <w:r>
        <w:rPr>
          <w:rFonts w:ascii="Courier New" w:hAnsi="Courier New"/>
          <w:shd w:val="clear" w:fill="EFEFEF"/>
        </w:rPr>
        <w:t xml:space="preserve">03_carga_masiva.sql</w:t>
      </w:r>
      <w:r>
        <w:t xml:space="preserve"> y </w:t>
      </w:r>
      <w:r>
        <w:rPr>
          <w:rFonts w:ascii="Courier New" w:hAnsi="Courier New"/>
          <w:shd w:val="clear" w:fill="EFEFEF"/>
        </w:rPr>
        <w:t xml:space="preserve">04_indices.sql</w:t>
      </w:r>
      <w:r>
        <w:t xml:space="preserve"> para el sistema Food Store, cumpliendo con el requisito de ≥10.000 registros totales, FKs siempre válidas y al menos un detalle por pedido, reutilizando el esquema ya definido por el Integrante 1 en </w:t>
      </w:r>
      <w:r>
        <w:rPr>
          <w:rFonts w:ascii="Courier New" w:hAnsi="Courier New"/>
          <w:shd w:val="clear" w:fill="EFEFEF"/>
        </w:rPr>
        <w:t xml:space="preserve">01_esquema.sql</w:t>
      </w:r>
      <w:r>
        <w:t xml:space="preserve">.</w:t>
      </w:r>
    </w:p>
    <w:p>
      <w:r>
        <w:rPr>
          <w:b/>
        </w:rPr>
        <w:t xml:space="preserve">Estrategia propuesta por la IA:</w:t>
      </w:r>
    </w:p>
    <w:p>
      <w:pPr>
        <w:pStyle w:val="ListParagraph"/>
        <w:numPr>
          <w:ilvl w:val="0"/>
          <w:numId w:val="1"/>
        </w:numPr>
      </w:pPr>
      <w:r>
        <w:t xml:space="preserve">Usar </w:t>
      </w:r>
      <w:r>
        <w:rPr>
          <w:rFonts w:ascii="Courier New" w:hAnsi="Courier New"/>
          <w:shd w:val="clear" w:fill="EFEFEF"/>
        </w:rPr>
        <w:t xml:space="preserve">WITH RECURSIVE</w:t>
      </w:r>
      <w:r>
        <w:t xml:space="preserve"> para generar series numéricas 1..N en lugar de tablas de números auxiliares persistentes, manteniendo el script autocontenido.</w:t>
      </w:r>
    </w:p>
    <w:p>
      <w:pPr>
        <w:pStyle w:val="ListParagraph"/>
        <w:numPr>
          <w:ilvl w:val="0"/>
          <w:numId w:val="1"/>
        </w:numPr>
      </w:pPr>
      <w:r>
        <w:t xml:space="preserve">Combinar esas series con </w:t>
      </w:r>
      <w:r>
        <w:rPr>
          <w:rFonts w:ascii="Courier New" w:hAnsi="Courier New"/>
          <w:shd w:val="clear" w:fill="EFEFEF"/>
        </w:rPr>
        <w:t xml:space="preserve">ROW_NUMBER() OVER (ORDER BY id)</w:t>
      </w:r>
      <w:r>
        <w:t xml:space="preserve"> sobre las tablas semilla (</w:t>
      </w:r>
      <w:r>
        <w:rPr>
          <w:rFonts w:ascii="Courier New" w:hAnsi="Courier New"/>
          <w:shd w:val="clear" w:fill="EFEFEF"/>
        </w:rPr>
        <w:t xml:space="preserve">categorias</w:t>
      </w:r>
      <w:r>
        <w:t xml:space="preserve">, </w:t>
      </w:r>
      <w:r>
        <w:rPr>
          <w:rFonts w:ascii="Courier New" w:hAnsi="Courier New"/>
          <w:shd w:val="clear" w:fill="EFEFEF"/>
        </w:rPr>
        <w:t xml:space="preserve">usuarios</w:t>
      </w:r>
      <w:r>
        <w:t xml:space="preserve">, </w:t>
      </w:r>
      <w:r>
        <w:rPr>
          <w:rFonts w:ascii="Courier New" w:hAnsi="Courier New"/>
          <w:shd w:val="clear" w:fill="EFEFEF"/>
        </w:rPr>
        <w:t xml:space="preserve">productos</w:t>
      </w:r>
      <w:r>
        <w:t xml:space="preserve">) y distribuir las FKs con el operador módulo, evitando así cualquier id inventado.</w:t>
      </w:r>
    </w:p>
    <w:p>
      <w:pPr>
        <w:pStyle w:val="ListParagraph"/>
        <w:numPr>
          <w:ilvl w:val="0"/>
          <w:numId w:val="1"/>
        </w:numPr>
      </w:pPr>
      <w:r>
        <w:t xml:space="preserve">Generar </w:t>
      </w:r>
      <w:r>
        <w:rPr>
          <w:rFonts w:ascii="Courier New" w:hAnsi="Courier New"/>
          <w:shd w:val="clear" w:fill="EFEFEF"/>
        </w:rPr>
        <w:t xml:space="preserve">pedidos</w:t>
      </w:r>
      <w:r>
        <w:t xml:space="preserve"> y </w:t>
      </w:r>
      <w:r>
        <w:rPr>
          <w:rFonts w:ascii="Courier New" w:hAnsi="Courier New"/>
          <w:shd w:val="clear" w:fill="EFEFEF"/>
        </w:rPr>
        <w:t xml:space="preserve">detalles_pedidos</w:t>
      </w:r>
      <w:r>
        <w:t xml:space="preserve"> en dos pasos: primero los pedidos con </w:t>
      </w:r>
      <w:r>
        <w:rPr>
          <w:rFonts w:ascii="Courier New" w:hAnsi="Courier New"/>
          <w:shd w:val="clear" w:fill="EFEFEF"/>
        </w:rPr>
        <w:t xml:space="preserve">total = 0</w:t>
      </w:r>
      <w:r>
        <w:t xml:space="preserve">, luego los detalles, y finalmente un </w:t>
      </w:r>
      <w:r>
        <w:rPr>
          <w:rFonts w:ascii="Courier New" w:hAnsi="Courier New"/>
          <w:shd w:val="clear" w:fill="EFEFEF"/>
        </w:rPr>
        <w:t xml:space="preserve">UPDATE ... JOIN</w:t>
      </w:r>
      <w:r>
        <w:t xml:space="preserve"> que recalcula el total real sumando los subtotales — así nunca queda un pedido con total inconsistente.</w:t>
      </w:r>
    </w:p>
    <w:p>
      <w:pPr>
        <w:pStyle w:val="ListParagraph"/>
        <w:numPr>
          <w:ilvl w:val="0"/>
          <w:numId w:val="1"/>
        </w:numPr>
      </w:pPr>
      <w:r>
        <w:t xml:space="preserve">Garantizar cardinalidad mínima (cada pedido con al menos 1 detalle) con la condición </w:t>
      </w:r>
      <w:r>
        <w:rPr>
          <w:rFonts w:ascii="Courier New" w:hAnsi="Courier New"/>
          <w:shd w:val="clear" w:fill="EFEFEF"/>
        </w:rPr>
        <w:t xml:space="preserve">c.k &lt;= (p.id % 4) + 1</w:t>
      </w:r>
      <w:r>
        <w:t xml:space="preserve"> en el cross join, en vez de un filtro aleatorio que podría dejar pedidos sin detalle.</w:t>
      </w:r>
    </w:p>
    <w:p>
      <w:r>
        <w:rPr>
          <w:b/>
        </w:rPr>
        <w:t xml:space="preserve">Error detectado y corregido durante las pruebas:</w:t>
      </w:r>
      <w:r>
        <w:t xml:space="preserve"> Al ejecutar el script contra una instancia real de MySQL 8.0 (contenedor Docker levantado para validar el trabajo), MySQL rechazó la sintaxis </w:t>
      </w:r>
      <w:r>
        <w:rPr>
          <w:rFonts w:ascii="Courier New" w:hAnsi="Courier New"/>
          <w:shd w:val="clear" w:fill="EFEFEF"/>
        </w:rPr>
        <w:t xml:space="preserve">WITH RECURSIVE ... INSERT INTO tabla SELECT ...</w:t>
      </w:r>
      <w:r>
        <w:t xml:space="preserve"> con el error 1064. La IA identificó que, a diferencia de otros motores, MySQL exige que la cláusula </w:t>
      </w:r>
      <w:r>
        <w:rPr>
          <w:rFonts w:ascii="Courier New" w:hAnsi="Courier New"/>
          <w:shd w:val="clear" w:fill="EFEFEF"/>
        </w:rPr>
        <w:t xml:space="preserve">WITH</w:t>
      </w:r>
      <w:r>
        <w:t xml:space="preserve"> se ubique </w:t>
      </w:r>
      <w:r>
        <w:rPr>
          <w:b/>
        </w:rPr>
        <w:t xml:space="preserve">después</w:t>
      </w:r>
      <w:r>
        <w:t xml:space="preserve"> de </w:t>
      </w:r>
      <w:r>
        <w:rPr>
          <w:rFonts w:ascii="Courier New" w:hAnsi="Courier New"/>
          <w:shd w:val="clear" w:fill="EFEFEF"/>
        </w:rPr>
        <w:t xml:space="preserve">INSERT INTO tabla (columnas)</w:t>
      </w:r>
      <w:r>
        <w:t xml:space="preserve"> y </w:t>
      </w:r>
      <w:r>
        <w:rPr>
          <w:b/>
        </w:rPr>
        <w:t xml:space="preserve">antes</w:t>
      </w:r>
      <w:r>
        <w:t xml:space="preserve"> del </w:t>
      </w:r>
      <w:r>
        <w:rPr>
          <w:rFonts w:ascii="Courier New" w:hAnsi="Courier New"/>
          <w:shd w:val="clear" w:fill="EFEFEF"/>
        </w:rPr>
        <w:t xml:space="preserve">SELECT</w:t>
      </w:r>
      <w:r>
        <w:t xml:space="preserve">, no al inicio del statement. Se corrigieron las cuatro inserciones masivas con ese orden y el script pasó a ejecutarse sin errores.</w:t>
      </w:r>
    </w:p>
    <w:p>
      <w:r>
        <w:rPr>
          <w:b/>
        </w:rPr>
        <w:t xml:space="preserve">Validación de resultados:</w:t>
      </w:r>
      <w:r>
        <w:t xml:space="preserve"> se volvió a ejecutar el pipeline completo (</w:t>
      </w:r>
      <w:r>
        <w:rPr>
          <w:rFonts w:ascii="Courier New" w:hAnsi="Courier New"/>
          <w:shd w:val="clear" w:fill="EFEFEF"/>
        </w:rPr>
        <w:t xml:space="preserve">01_esquema.sql</w:t>
      </w:r>
      <w:r>
        <w:t xml:space="preserve"> → </w:t>
      </w:r>
      <w:r>
        <w:rPr>
          <w:rFonts w:ascii="Courier New" w:hAnsi="Courier New"/>
          <w:shd w:val="clear" w:fill="EFEFEF"/>
        </w:rPr>
        <w:t xml:space="preserve">02_catalogo.sql</w:t>
      </w:r>
      <w:r>
        <w:t xml:space="preserve"> → </w:t>
      </w:r>
      <w:r>
        <w:rPr>
          <w:rFonts w:ascii="Courier New" w:hAnsi="Courier New"/>
          <w:shd w:val="clear" w:fill="EFEFEF"/>
        </w:rPr>
        <w:t xml:space="preserve">03_carga_masiva.sql</w:t>
      </w:r>
      <w:r>
        <w:t xml:space="preserve"> → </w:t>
      </w:r>
      <w:r>
        <w:rPr>
          <w:rFonts w:ascii="Courier New" w:hAnsi="Courier New"/>
          <w:shd w:val="clear" w:fill="EFEFEF"/>
        </w:rPr>
        <w:t xml:space="preserve">04_indices.sql</w:t>
      </w:r>
      <w:r>
        <w:t xml:space="preserve">) contra MySQL 8.0 real. Se confirmó: 16.003 registros totales, 0 FKs huérfanas, 0 pedidos sin detalle, 0 valores fuera de rango, y que </w:t>
      </w:r>
      <w:r>
        <w:rPr>
          <w:rFonts w:ascii="Courier New" w:hAnsi="Courier New"/>
          <w:shd w:val="clear" w:fill="EFEFEF"/>
        </w:rPr>
        <w:t xml:space="preserve">pedidos.total</w:t>
      </w:r>
      <w:r>
        <w:t xml:space="preserve"> coincide exactamente con la suma de los </w:t>
      </w:r>
      <w:r>
        <w:rPr>
          <w:rFonts w:ascii="Courier New" w:hAnsi="Courier New"/>
          <w:shd w:val="clear" w:fill="EFEFEF"/>
        </w:rPr>
        <w:t xml:space="preserve">subtotal</w:t>
      </w:r>
      <w:r>
        <w:t xml:space="preserve"> de cada pedido. También se verificó que </w:t>
      </w:r>
      <w:r>
        <w:rPr>
          <w:rFonts w:ascii="Courier New" w:hAnsi="Courier New"/>
          <w:shd w:val="clear" w:fill="EFEFEF"/>
        </w:rPr>
        <w:t xml:space="preserve">04_indices.sql</w:t>
      </w:r>
      <w:r>
        <w:t xml:space="preserve"> es idempotente (ejecutarlo dos veces no falla ni duplica índices), usando un procedimiento almacenado que consulta </w:t>
      </w:r>
      <w:r>
        <w:rPr>
          <w:rFonts w:ascii="Courier New" w:hAnsi="Courier New"/>
          <w:shd w:val="clear" w:fill="EFEFEF"/>
        </w:rPr>
        <w:t xml:space="preserve">information_schema.statistics</w:t>
      </w:r>
      <w:r>
        <w:t xml:space="preserve"> antes de cada </w:t>
      </w:r>
      <w:r>
        <w:rPr>
          <w:rFonts w:ascii="Courier New" w:hAnsi="Courier New"/>
          <w:shd w:val="clear" w:fill="EFEFEF"/>
        </w:rPr>
        <w:t xml:space="preserve">CREATE INDEX</w:t>
      </w:r>
      <w:r>
        <w:t xml:space="preserve">, ya que MySQL no soporta </w:t>
      </w:r>
      <w:r>
        <w:rPr>
          <w:rFonts w:ascii="Courier New" w:hAnsi="Courier New"/>
          <w:shd w:val="clear" w:fill="EFEFEF"/>
        </w:rPr>
        <w:t xml:space="preserve">DROP INDEX IF EXISTS</w:t>
      </w:r>
      <w:r>
        <w:t xml:space="preserve">.</w:t>
      </w:r>
    </w:p>
    <w:p>
      <w:pPr>
        <w:pStyle w:val="Heading2"/>
      </w:pPr>
      <w:r>
        <w:t xml:space="preserve">Decisiones que se tomaron por criterio propio (no sugeridas por la IA)</w:t>
      </w:r>
    </w:p>
    <w:p>
      <w:pPr>
        <w:pStyle w:val="ListParagraph"/>
        <w:numPr>
          <w:ilvl w:val="0"/>
          <w:numId w:val="1"/>
        </w:numPr>
      </w:pPr>
      <w:r>
        <w:t xml:space="preserve">Los volúmenes concretos por tabla (1.000 usuarios, 1.000 productos, 4.000 pedidos, ~10.000 detalles) se eligieron para superar cómodamente el mínimo exigido sin generar un script lento de ejecutar en clase.</w:t>
      </w:r>
    </w:p>
    <w:p>
      <w:pPr>
        <w:pStyle w:val="ListParagraph"/>
        <w:numPr>
          <w:ilvl w:val="0"/>
          <w:numId w:val="1"/>
        </w:numPr>
      </w:pPr>
      <w:r>
        <w:t xml:space="preserve">Los índices elegidos en </w:t>
      </w:r>
      <w:r>
        <w:rPr>
          <w:rFonts w:ascii="Courier New" w:hAnsi="Courier New"/>
          <w:shd w:val="clear" w:fill="EFEFEF"/>
        </w:rPr>
        <w:t xml:space="preserve">04_indices.sql</w:t>
      </w:r>
      <w:r>
        <w:t xml:space="preserve"> se basaron en los joins y filtros que se anticipan para las consultas de Etapa 3 (FKs de </w:t>
      </w:r>
      <w:r>
        <w:rPr>
          <w:rFonts w:ascii="Courier New" w:hAnsi="Courier New"/>
          <w:shd w:val="clear" w:fill="EFEFEF"/>
        </w:rPr>
        <w:t xml:space="preserve">productos</w:t>
      </w:r>
      <w:r>
        <w:t xml:space="preserve">, </w:t>
      </w:r>
      <w:r>
        <w:rPr>
          <w:rFonts w:ascii="Courier New" w:hAnsi="Courier New"/>
          <w:shd w:val="clear" w:fill="EFEFEF"/>
        </w:rPr>
        <w:t xml:space="preserve">pedidos</w:t>
      </w:r>
      <w:r>
        <w:t xml:space="preserve"> y </w:t>
      </w:r>
      <w:r>
        <w:rPr>
          <w:rFonts w:ascii="Courier New" w:hAnsi="Courier New"/>
          <w:shd w:val="clear" w:fill="EFEFEF"/>
        </w:rPr>
        <w:t xml:space="preserve">detalles_pedidos</w:t>
      </w:r>
      <w:r>
        <w:t xml:space="preserve">, filtro por </w:t>
      </w:r>
      <w:r>
        <w:rPr>
          <w:rFonts w:ascii="Courier New" w:hAnsi="Courier New"/>
          <w:shd w:val="clear" w:fill="EFEFEF"/>
        </w:rPr>
        <w:t xml:space="preserve">estado</w:t>
      </w:r>
      <w:r>
        <w:t xml:space="preserve"> y por </w:t>
      </w:r>
      <w:r>
        <w:rPr>
          <w:rFonts w:ascii="Courier New" w:hAnsi="Courier New"/>
          <w:shd w:val="clear" w:fill="EFEFEF"/>
        </w:rPr>
        <w:t xml:space="preserve">created_at</w:t>
      </w:r>
      <w:r>
        <w:t xml:space="preserve">).</w:t>
      </w:r>
    </w:p>
    <w:sectPr>
      <w:pgSz w:w="11906" w:h="16838"/>
      <w:pgMar w:top="1417" w:right="1417" w:bottom="1417" w:left="1417"/>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60" w:line="276" w:lineRule="auto"/>
    </w:pPr>
  </w:style>
  <w:style w:type="paragraph" w:styleId="Heading1">
    <w:name w:val="heading 1"/>
    <w:basedOn w:val="Normal"/>
    <w:pPr>
      <w:spacing w:before="240" w:after="120"/>
      <w:outlineLvl w:val="0"/>
    </w:pPr>
    <w:rPr>
      <w:b/>
      <w:sz w:val="32"/>
      <w:color w:val="2E74B5"/>
    </w:rPr>
  </w:style>
  <w:style w:type="paragraph" w:styleId="Heading2">
    <w:name w:val="heading 2"/>
    <w:basedOn w:val="Normal"/>
    <w:pPr>
      <w:spacing w:before="200" w:after="100"/>
      <w:outlineLvl w:val="1"/>
    </w:pPr>
    <w:rPr>
      <w:b/>
      <w:sz w:val="26"/>
      <w:color w:val="2E74B5"/>
    </w:rPr>
  </w:style>
  <w:style w:type="paragraph" w:styleId="Quote">
    <w:name w:val="Quote"/>
    <w:basedOn w:val="Normal"/>
    <w:pPr>
      <w:ind w:left="284"/>
      <w:spacing w:after="160"/>
    </w:pPr>
    <w:rPr>
      <w:i/>
      <w:color w:val="595959"/>
    </w:rPr>
  </w:style>
  <w:style w:type="paragraph" w:styleId="ListParagraph">
    <w:name w:val="List Paragraph"/>
    <w:basedOn w:val="Normal"/>
    <w:pPr>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md_to_docx.py</Application>
</Properties>
</file>

<file path=docProps/core.xml><?xml version="1.0" encoding="utf-8"?>
<cp:coreProperties xmlns:cp="http://schemas.openxmlformats.org/package/2006/metadata/core-properties" xmlns:dc="http://purl.org/dc/elements/1.1/">
  <dc:title>Anexo IA - Etapa 2 - Food Store</dc:title>
  <dc:creator>Food Store TFI</dc:creator>
</cp:coreProperties>
</file>