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PLANIFICACIÓN DEL PROYECTO (VERSIÓN V2)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Caso 5 · Salud Pública: Riesgo de Enfermedad Cardíaca (Heart Disease Dataset)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Responsable de Planificación: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Fabián Leal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rtl w:val="0"/>
        </w:rPr>
        <w:t xml:space="preserve">Entregables Integrados:</w:t>
      </w: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 D12 (EDT) · D13 (Carta Gantt) · D14 (Dependencias, Hitos y Recursos)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pStyle w:val="Heading2"/>
        <w:keepLines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Propósito y Marco Metodológico de la Planificación</w:t>
      </w:r>
    </w:p>
    <w:p w:rsidR="00000000" w:rsidDel="00000000" w:rsidP="00000000" w:rsidRDefault="00000000" w:rsidRPr="00000000" w14:paraId="00000007">
      <w:pPr>
        <w:spacing w:after="240" w:before="240" w:line="300" w:lineRule="auto"/>
        <w:ind w:right="5.669291338583093"/>
        <w:rPr/>
      </w:pPr>
      <w:r w:rsidDel="00000000" w:rsidR="00000000" w:rsidRPr="00000000">
        <w:rPr>
          <w:rtl w:val="0"/>
        </w:rPr>
        <w:t>El presente documento actualiza y consolida la planificación del proyecto para la implementación de la plataforma interna de apoyo analítico a la prevención cardiovascular en un hospital público. La planificación transforma la línea base de arquitectura de Lucas (D1–D6) y el TCO validado de Ignacio (D7–D11) en un plan ejecutable, estructurado y trazable.</w:t>
      </w:r>
    </w:p>
    <w:p w:rsidR="00000000" w:rsidDel="00000000" w:rsidP="00000000" w:rsidRDefault="00000000" w:rsidRPr="00000000" w14:paraId="00000008">
      <w:pPr>
        <w:spacing w:after="240" w:before="240" w:line="300" w:lineRule="auto"/>
        <w:ind w:right="5.669291338583093"/>
        <w:rPr/>
      </w:pPr>
      <w:r w:rsidDel="00000000" w:rsidR="00000000" w:rsidRPr="00000000">
        <w:rPr>
          <w:rtl w:val="0"/>
        </w:rPr>
        <w:t xml:space="preserve">Para garantizar una articulación perfecta entre la gestión del proyecto y la evaluación económica del Costo Total de Propiedad (TCO), la planificación distingue y concilia explícitamente </w:t>
      </w:r>
      <w:r w:rsidDel="00000000" w:rsidR="00000000" w:rsidRPr="00000000">
        <w:rPr>
          <w:b w:val="1"/>
          <w:bCs w:val="1"/>
          <w:rtl w:val="0"/>
        </w:rPr>
        <w:t xml:space="preserve">dos horizontes temporales complementarios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="300" w:lineRule="auto"/>
        <w:ind w:left="720" w:right="5.669291338583093" w:hanging="360"/>
      </w:pPr>
      <w:r w:rsidDel="00000000" w:rsidR="00000000" w:rsidRPr="00000000">
        <w:rPr>
          <w:b w:val="1"/>
          <w:bCs w:val="1"/>
          <w:rtl w:val="0"/>
        </w:rPr>
        <w:t>Horizonte de Ejecución e Implementación del Piloto (10 semanas): corresponde a un supuesto de planificación, no a una duración impuesta por el caso. Se considera razonable para separar alcance, datos, modelamiento, validación, infraestructura, piloto controlado y cierre, permitiendo solapamientos compatibles con el enfoque adaptativo. Comprende el trabajo desde la definición del alcance hasta la evaluación del piloto con 20 usuarios autorizados del área cardiovascular.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300" w:lineRule="auto"/>
        <w:ind w:left="720" w:right="5.669291338583093" w:hanging="360"/>
      </w:pPr>
      <w:r w:rsidDel="00000000" w:rsidR="00000000" w:rsidRPr="00000000">
        <w:rPr>
          <w:b w:val="1"/>
          <w:bCs w:val="1"/>
          <w:rtl w:val="0"/>
        </w:rPr>
        <w:t>Horizonte Operacional y Financiero de Evaluación (36 meses): corresponde al ciclo de vida usado para comparar el TCO e incluye ingesta batch diaria, continuidad de servicio (RTO 8 h y RPO 24 h) y seis ventanas semestrales de evaluación y eventual reentrenamiento. Un modelo nuevo solo se publica si supera la validación técnica, ética y clínica definida.</w:t>
      </w:r>
    </w:p>
    <w:p w:rsidR="00000000" w:rsidDel="00000000" w:rsidP="00000000" w:rsidRDefault="00000000" w:rsidRPr="00000000" w14:paraId="0000000B">
      <w:pPr>
        <w:spacing w:after="240" w:before="240" w:line="300" w:lineRule="auto"/>
        <w:ind w:right="5.669291338583093"/>
        <w:rPr/>
      </w:pPr>
      <w:r w:rsidDel="00000000" w:rsidR="00000000" w:rsidRPr="00000000">
        <w:rPr>
          <w:rtl w:val="0"/>
        </w:rPr>
        <w:t>La gestión se rige por un enfoque adaptativo, estructurado en ciclos incrementales con puntos formales de control. Esto permite revisar la calidad y deriva de los datos, auditar el desempeño por subgrupos, documentar riesgos de sesgo y aplicar medidas de mitigación antes de habilitar o actualizar el modelo en el piloto controlado.</w:t>
      </w:r>
    </w:p>
    <w:p w:rsidR="00000000" w:rsidDel="00000000" w:rsidP="00000000" w:rsidRDefault="00000000" w:rsidRPr="00000000" w14:paraId="0000000C">
      <w:pPr>
        <w:spacing w:after="240" w:before="240" w:line="300" w:lineRule="auto"/>
        <w:ind w:right="5.6692913385830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Lines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Estructura de Desglose del Trabajo (EDT Integrada - Entregable D12)</w:t>
      </w:r>
    </w:p>
    <w:p w:rsidR="00000000" w:rsidDel="00000000" w:rsidP="00000000" w:rsidRDefault="00000000" w:rsidRPr="00000000" w14:paraId="0000000E">
      <w:pPr>
        <w:pStyle w:val="Heading3"/>
        <w:keepLines/>
        <w:spacing w:after="80" w:before="280" w:line="300" w:lineRule="auto"/>
        <w:ind w:left="0" w:right="600" w:firstLine="0"/>
        <w:rPr>
          <w:sz w:val="26"/>
          <w:szCs w:val="26"/>
        </w:rPr>
      </w:pPr>
      <w:bookmarkStart w:colFirst="0" w:colLast="0" w:name="_e8iu2jvfvrka" w:id="0"/>
      <w:bookmarkEnd w:id="0"/>
      <w:r w:rsidDel="00000000" w:rsidR="00000000" w:rsidRPr="00000000">
        <w:rPr>
          <w:sz w:val="26"/>
          <w:szCs w:val="26"/>
          <w:rtl w:val="0"/>
        </w:rPr>
        <w:t xml:space="preserve">2.1 Nivel 1: Alcance General del Proyecto</w:t>
      </w:r>
    </w:p>
    <w:p w:rsidR="00000000" w:rsidDel="00000000" w:rsidP="00000000" w:rsidRDefault="00000000" w:rsidRPr="00000000" w14:paraId="0000000F">
      <w:pPr>
        <w:spacing w:after="240" w:before="240" w:line="300" w:lineRule="auto"/>
        <w:ind w:left="0" w:right="12.33595800525033" w:firstLine="0"/>
        <w:rPr/>
      </w:pPr>
      <w:r w:rsidDel="00000000" w:rsidR="00000000" w:rsidRPr="00000000">
        <w:rPr>
          <w:rtl w:val="0"/>
        </w:rPr>
        <w:t>El proyecto se desglosa en seis paquetes de trabajo orientados a entregables. Cubren la implementación del piloto durante el supuesto de 10 semanas y su sostenibilidad operacional durante 36 meses: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EDT 1.0: Gobierno, alcance y línea base aprobados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EDT 2.0: Dataset gobernado y pipeline batch disponible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EDT 3.0: Modelos candidatos, explicabilidad y servicio de inferencia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EDT 4.0: Evidencia de validación técnica, ética y de sesgos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EDT 5.0: Plataforma Cloud segura y piloto controlado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EDT 6.0: Continuidad operacional y seis ventanas de evaluación</w:t>
      </w:r>
    </w:p>
    <w:p w:rsidR="00000000" w:rsidDel="00000000" w:rsidP="00000000" w:rsidRDefault="00000000" w:rsidRPr="00000000" w14:paraId="00000016">
      <w:pPr>
        <w:pStyle w:val="Heading3"/>
        <w:keepLines/>
        <w:spacing w:after="80" w:before="280" w:line="300" w:lineRule="auto"/>
        <w:ind w:left="0" w:right="12.33595800525033" w:firstLine="0"/>
        <w:rPr>
          <w:sz w:val="26"/>
          <w:szCs w:val="26"/>
        </w:rPr>
      </w:pPr>
      <w:bookmarkStart w:colFirst="0" w:colLast="0" w:name="_2u0upa0ly42" w:id="1"/>
      <w:bookmarkEnd w:id="1"/>
      <w:r w:rsidDel="00000000" w:rsidR="00000000" w:rsidRPr="00000000">
        <w:rPr>
          <w:sz w:val="26"/>
          <w:szCs w:val="26"/>
          <w:rtl w:val="0"/>
        </w:rPr>
        <w:t>2.2 Estructura Jerárquica de Entregables (EDT Nivel 2 y Nivel 3)</w:t>
      </w:r>
    </w:p>
    <w:p w:rsidR="00000000" w:rsidDel="00000000" w:rsidP="00000000" w:rsidRDefault="00000000" w:rsidRPr="00000000" w14:paraId="00000017">
      <w:pPr>
        <w:pStyle w:val="Heading4"/>
        <w:keepLines/>
        <w:spacing w:after="40" w:before="240" w:line="300" w:lineRule="auto"/>
        <w:ind w:left="0" w:right="12.33595800525033" w:firstLine="0"/>
        <w:rPr>
          <w:sz w:val="22"/>
          <w:szCs w:val="22"/>
        </w:rPr>
      </w:pPr>
      <w:bookmarkStart w:colFirst="0" w:colLast="0" w:name="_gvywrqpqy8jz" w:id="2"/>
      <w:bookmarkEnd w:id="2"/>
      <w:r w:rsidDel="00000000" w:rsidR="00000000" w:rsidRPr="00000000">
        <w:rPr>
          <w:sz w:val="22"/>
          <w:szCs w:val="22"/>
          <w:rtl w:val="0"/>
        </w:rPr>
        <w:t>1.0 Gobierno, Alcance y Línea Base Aprobados (Semanas 1–10)</w:t>
      </w:r>
    </w:p>
    <w:p w:rsidR="00000000" w:rsidDel="00000000" w:rsidP="00000000" w:rsidRDefault="00000000" w:rsidRPr="00000000" w14:paraId="00000018">
      <w:pPr>
        <w:keepLines/>
        <w:numPr>
          <w:ilvl w:val="0"/>
          <w:numId w:val="7"/>
        </w:numPr>
        <w:spacing w:after="0" w:afterAutospacing="0" w:before="24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1.1 Alcance y Requerimientos Aprobados: definición validada con stakeholders clínicos y directivos.</w:t>
      </w:r>
    </w:p>
    <w:p w:rsidR="00000000" w:rsidDel="00000000" w:rsidP="00000000" w:rsidRDefault="00000000" w:rsidRPr="00000000" w14:paraId="00000019">
      <w:pPr>
        <w:keepLines/>
        <w:numPr>
          <w:ilvl w:val="0"/>
          <w:numId w:val="7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1.2 Plan de Equipo y Recursos Aprobado: asignación trazable de 532 horas para la alternativa Cloud.</w:t>
      </w:r>
    </w:p>
    <w:p w:rsidR="00000000" w:rsidDel="00000000" w:rsidP="00000000" w:rsidRDefault="00000000" w:rsidRPr="00000000" w14:paraId="0000001A">
      <w:pPr>
        <w:keepLines/>
        <w:numPr>
          <w:ilvl w:val="0"/>
          <w:numId w:val="7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1.3 Registro Preliminar de Riesgos de Planificación: insumos de plazo y recursos entregados a Vicente para consolidación.</w:t>
      </w:r>
    </w:p>
    <w:p w:rsidR="00000000" w:rsidDel="00000000" w:rsidP="00000000" w:rsidRDefault="00000000" w:rsidRPr="00000000" w14:paraId="0000001B">
      <w:pPr>
        <w:keepLines/>
        <w:numPr>
          <w:ilvl w:val="0"/>
          <w:numId w:val="7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1.4 Línea Base de Control Financiero: seguimiento del TCO Cloud validado de $10.815.487 y su contingencia.</w:t>
      </w:r>
    </w:p>
    <w:p w:rsidR="00000000" w:rsidDel="00000000" w:rsidP="00000000" w:rsidRDefault="00000000" w:rsidRPr="00000000" w14:paraId="0000001C">
      <w:pPr>
        <w:keepLines/>
        <w:numPr>
          <w:ilvl w:val="0"/>
          <w:numId w:val="7"/>
        </w:numPr>
        <w:spacing w:after="24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1.5 Informe de Cierre del Piloto: resultados, lecciones, decisiones y documentación consolidados.</w:t>
      </w:r>
    </w:p>
    <w:p w:rsidR="00000000" w:rsidDel="00000000" w:rsidP="00000000" w:rsidRDefault="00000000" w:rsidRPr="00000000" w14:paraId="0000001D">
      <w:pPr>
        <w:pStyle w:val="Heading4"/>
        <w:keepLines/>
        <w:spacing w:after="40" w:before="240" w:line="300" w:lineRule="auto"/>
        <w:ind w:left="0" w:right="12.33595800525033" w:firstLine="0"/>
        <w:rPr>
          <w:sz w:val="22"/>
          <w:szCs w:val="22"/>
        </w:rPr>
      </w:pPr>
      <w:bookmarkStart w:colFirst="0" w:colLast="0" w:name="_4eyaqyn0aqox" w:id="3"/>
      <w:bookmarkEnd w:id="3"/>
      <w:r w:rsidDel="00000000" w:rsidR="00000000" w:rsidRPr="00000000">
        <w:rPr>
          <w:sz w:val="22"/>
          <w:szCs w:val="22"/>
          <w:rtl w:val="0"/>
        </w:rPr>
        <w:t>2.0 Dataset Gobernado y Pipeline Batch Disponible (Semanas 2–4 y Operación Recurrente)</w:t>
      </w:r>
    </w:p>
    <w:p w:rsidR="00000000" w:rsidDel="00000000" w:rsidP="00000000" w:rsidRDefault="00000000" w:rsidRPr="00000000" w14:paraId="0000001E">
      <w:pPr>
        <w:keepLines/>
        <w:numPr>
          <w:ilvl w:val="0"/>
          <w:numId w:val="3"/>
        </w:numPr>
        <w:spacing w:after="0" w:afterAutospacing="0" w:before="24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2.1 Dataset Histórico Inicial Preparado: escenario de dimensionamiento equivalente a 10.000 registros. La cifra es un supuesto de planificación y no describe el dataset académico ni datos confirmados del hospital.</w:t>
      </w:r>
    </w:p>
    <w:p w:rsidR="00000000" w:rsidDel="00000000" w:rsidP="00000000" w:rsidRDefault="00000000" w:rsidRPr="00000000" w14:paraId="0000001F">
      <w:pPr>
        <w:keepLines/>
        <w:numPr>
          <w:ilvl w:val="0"/>
          <w:numId w:val="3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2.2 Pipeline Batch Incremental Disponible: carga diaria automática al cierre de la jornada operativa.</w:t>
      </w:r>
    </w:p>
    <w:p w:rsidR="00000000" w:rsidDel="00000000" w:rsidP="00000000" w:rsidRDefault="00000000" w:rsidRPr="00000000" w14:paraId="00000020">
      <w:pPr>
        <w:keepLines/>
        <w:numPr>
          <w:ilvl w:val="0"/>
          <w:numId w:val="3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2.3 Dataset Pseudonimizado y Controles Aplicados: identificadores directos eliminados o pseudonimizados, con acceso restringido; los datos de salud siguen tratándose como sensibles.</w:t>
      </w:r>
    </w:p>
    <w:p w:rsidR="00000000" w:rsidDel="00000000" w:rsidP="00000000" w:rsidRDefault="00000000" w:rsidRPr="00000000" w14:paraId="00000021">
      <w:pPr>
        <w:keepLines/>
        <w:numPr>
          <w:ilvl w:val="0"/>
          <w:numId w:val="3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2.4 Dataset Analítico Preparado: reglas documentadas de faltantes, codificación y normalización.</w:t>
      </w:r>
    </w:p>
    <w:p w:rsidR="00000000" w:rsidDel="00000000" w:rsidP="00000000" w:rsidRDefault="00000000" w:rsidRPr="00000000" w14:paraId="00000022">
      <w:pPr>
        <w:keepLines/>
        <w:numPr>
          <w:ilvl w:val="0"/>
          <w:numId w:val="3"/>
        </w:numPr>
        <w:spacing w:after="24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2.5 Almacenamiento Seguro Configurado: Cloud SQL for PostgreSQL para datos operacionales y Cloud Storage para datasets, artefactos y respaldos. BigQuery no forma parte de la arquitectura base.</w:t>
      </w:r>
    </w:p>
    <w:p w:rsidR="00000000" w:rsidDel="00000000" w:rsidP="00000000" w:rsidRDefault="00000000" w:rsidRPr="00000000" w14:paraId="00000023">
      <w:pPr>
        <w:pStyle w:val="Heading4"/>
        <w:keepLines/>
        <w:spacing w:after="40" w:before="240" w:line="300" w:lineRule="auto"/>
        <w:ind w:left="0" w:right="12.33595800525033" w:firstLine="0"/>
        <w:rPr>
          <w:sz w:val="22"/>
          <w:szCs w:val="22"/>
        </w:rPr>
      </w:pPr>
      <w:bookmarkStart w:colFirst="0" w:colLast="0" w:name="_29ndvs6zspk4" w:id="4"/>
      <w:bookmarkEnd w:id="4"/>
      <w:r w:rsidDel="00000000" w:rsidR="00000000" w:rsidRPr="00000000">
        <w:rPr>
          <w:sz w:val="22"/>
          <w:szCs w:val="22"/>
          <w:rtl w:val="0"/>
        </w:rPr>
        <w:t>3.0 Modelos Candidatos, Explicabilidad y Servicio de Inferencia (Semanas 4–6)</w:t>
      </w:r>
    </w:p>
    <w:p w:rsidR="00000000" w:rsidDel="00000000" w:rsidP="00000000" w:rsidRDefault="00000000" w:rsidRPr="00000000" w14:paraId="00000024">
      <w:pPr>
        <w:keepLines/>
        <w:numPr>
          <w:ilvl w:val="0"/>
          <w:numId w:val="4"/>
        </w:numPr>
        <w:spacing w:after="0" w:afterAutospacing="0" w:before="24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3.1 Modelos Candidatos Entrenados y Documentados: comparación de algoritmos compatibles con la línea base técnica.</w:t>
      </w:r>
    </w:p>
    <w:p w:rsidR="00000000" w:rsidDel="00000000" w:rsidP="00000000" w:rsidRDefault="00000000" w:rsidRPr="00000000" w14:paraId="00000025">
      <w:pPr>
        <w:keepLines/>
        <w:numPr>
          <w:ilvl w:val="0"/>
          <w:numId w:val="4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3.2 Informe de Explicabilidad Disponible: resultados locales y globales documentados para revisión clínica.</w:t>
      </w:r>
    </w:p>
    <w:p w:rsidR="00000000" w:rsidDel="00000000" w:rsidP="00000000" w:rsidRDefault="00000000" w:rsidRPr="00000000" w14:paraId="00000026">
      <w:pPr>
        <w:keepLines/>
        <w:numPr>
          <w:ilvl w:val="0"/>
          <w:numId w:val="4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3.3 Servicio de Inferencia Implementado: API con FastAPI desplegable en Cloud Run.</w:t>
      </w:r>
    </w:p>
    <w:p w:rsidR="00000000" w:rsidDel="00000000" w:rsidP="00000000" w:rsidRDefault="00000000" w:rsidRPr="00000000" w14:paraId="00000027">
      <w:pPr>
        <w:keepLines/>
        <w:numPr>
          <w:ilvl w:val="0"/>
          <w:numId w:val="4"/>
        </w:numPr>
        <w:spacing w:after="24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3.4 Evidencia de Pruebas del Servicio: resultados unitarios, de integración y tiempos de respuesta documentados.</w:t>
      </w:r>
    </w:p>
    <w:p w:rsidR="00000000" w:rsidDel="00000000" w:rsidP="00000000" w:rsidRDefault="00000000" w:rsidRPr="00000000" w14:paraId="00000028">
      <w:pPr>
        <w:pStyle w:val="Heading4"/>
        <w:keepLines/>
        <w:spacing w:after="40" w:before="240" w:line="300" w:lineRule="auto"/>
        <w:ind w:left="0" w:right="12.33595800525033" w:firstLine="0"/>
        <w:rPr>
          <w:sz w:val="22"/>
          <w:szCs w:val="22"/>
        </w:rPr>
      </w:pPr>
      <w:bookmarkStart w:colFirst="0" w:colLast="0" w:name="_qbv8s74nubip" w:id="5"/>
      <w:bookmarkEnd w:id="5"/>
      <w:r w:rsidDel="00000000" w:rsidR="00000000" w:rsidRPr="00000000">
        <w:rPr>
          <w:sz w:val="22"/>
          <w:szCs w:val="22"/>
          <w:rtl w:val="0"/>
        </w:rPr>
        <w:t>4.0 Evidencia de Validación Técnica, Ética y de Sesgos (Semanas 5–6 y Recurrente Semestral)</w:t>
      </w:r>
    </w:p>
    <w:p w:rsidR="00000000" w:rsidDel="00000000" w:rsidP="00000000" w:rsidRDefault="00000000" w:rsidRPr="00000000" w14:paraId="00000029">
      <w:pPr>
        <w:keepLines/>
        <w:numPr>
          <w:ilvl w:val="0"/>
          <w:numId w:val="1"/>
        </w:numPr>
        <w:spacing w:after="0" w:afterAutospacing="0" w:before="24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4.1 Informe de Validación Técnica: métricas pertinentes comparadas con el baseline y criterios aprobados durante la validación, sin fijar umbrales arbitrarios por adelantado.</w:t>
      </w:r>
    </w:p>
    <w:p w:rsidR="00000000" w:rsidDel="00000000" w:rsidP="00000000" w:rsidRDefault="00000000" w:rsidRPr="00000000" w14:paraId="0000002A">
      <w:pPr>
        <w:keepLines/>
        <w:numPr>
          <w:ilvl w:val="0"/>
          <w:numId w:val="1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4.2 Informe de Auditoría por Subgrupos: diferencias de desempeño y riesgos de sesgo identificados, documentados y mitigados o aceptados antes del piloto.</w:t>
      </w:r>
    </w:p>
    <w:p w:rsidR="00000000" w:rsidDel="00000000" w:rsidP="00000000" w:rsidRDefault="00000000" w:rsidRPr="00000000" w14:paraId="0000002B">
      <w:pPr>
        <w:keepLines/>
        <w:numPr>
          <w:ilvl w:val="0"/>
          <w:numId w:val="1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4.3 Protocolo de Gobernanza Human in the Loop Aprobado: supervisión clínica obligatoria y límites de uso documentados.</w:t>
      </w:r>
    </w:p>
    <w:p w:rsidR="00000000" w:rsidDel="00000000" w:rsidP="00000000" w:rsidRDefault="00000000" w:rsidRPr="00000000" w14:paraId="0000002C">
      <w:pPr>
        <w:keepLines/>
        <w:numPr>
          <w:ilvl w:val="0"/>
          <w:numId w:val="1"/>
        </w:numPr>
        <w:spacing w:after="24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4.4 Protocolo de Monitoreo de Deriva Definido: criterios de alerta y decisión para evaluar un eventual reentrenamiento.</w:t>
      </w:r>
    </w:p>
    <w:p w:rsidR="00000000" w:rsidDel="00000000" w:rsidP="00000000" w:rsidRDefault="00000000" w:rsidRPr="00000000" w14:paraId="0000002D">
      <w:pPr>
        <w:pStyle w:val="Heading4"/>
        <w:keepLines/>
        <w:spacing w:after="40" w:before="240" w:line="300" w:lineRule="auto"/>
        <w:ind w:left="0" w:right="12.33595800525033" w:firstLine="0"/>
        <w:rPr>
          <w:sz w:val="22"/>
          <w:szCs w:val="22"/>
        </w:rPr>
      </w:pPr>
      <w:bookmarkStart w:colFirst="0" w:colLast="0" w:name="_x42igcj6dc6n" w:id="6"/>
      <w:bookmarkEnd w:id="6"/>
      <w:r w:rsidDel="00000000" w:rsidR="00000000" w:rsidRPr="00000000">
        <w:rPr>
          <w:sz w:val="22"/>
          <w:szCs w:val="22"/>
          <w:rtl w:val="0"/>
        </w:rPr>
        <w:t>5.0 Plataforma Cloud Segura y Piloto Controlado (Semanas 6–8)</w:t>
      </w:r>
    </w:p>
    <w:p w:rsidR="00000000" w:rsidDel="00000000" w:rsidP="00000000" w:rsidRDefault="00000000" w:rsidRPr="00000000" w14:paraId="0000002E">
      <w:pPr>
        <w:keepLines/>
        <w:numPr>
          <w:ilvl w:val="0"/>
          <w:numId w:val="6"/>
        </w:numPr>
        <w:spacing w:after="0" w:afterAutospacing="0" w:before="24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5.1 Entorno GCP Configurado: Cloud Run como servicio principal, Cloud SQL for PostgreSQL y Cloud Storage, con políticas IAM de mínimo privilegio. Compute Engine queda fuera de la infraestructura principal y solo podría evaluarse como cómputo temporal opcional si una tarea futura lo justifica.</w:t>
      </w:r>
    </w:p>
    <w:p w:rsidR="00000000" w:rsidDel="00000000" w:rsidP="00000000" w:rsidRDefault="00000000" w:rsidRPr="00000000" w14:paraId="0000002F">
      <w:pPr>
        <w:keepLines/>
        <w:numPr>
          <w:ilvl w:val="0"/>
          <w:numId w:val="6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5.2 Credenciales y Secretos Gestionados: Secret Manager configurado para llaves y contraseñas.</w:t>
      </w:r>
    </w:p>
    <w:p w:rsidR="00000000" w:rsidDel="00000000" w:rsidP="00000000" w:rsidRDefault="00000000" w:rsidRPr="00000000" w14:paraId="00000030">
      <w:pPr>
        <w:keepLines/>
        <w:numPr>
          <w:ilvl w:val="0"/>
          <w:numId w:val="6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5.3 Sistema de Observabilidad y Control de Costos Configurado: logs, alertas de consumo y métricas operacionales.</w:t>
      </w:r>
    </w:p>
    <w:p w:rsidR="00000000" w:rsidDel="00000000" w:rsidP="00000000" w:rsidRDefault="00000000" w:rsidRPr="00000000" w14:paraId="00000031">
      <w:pPr>
        <w:keepLines/>
        <w:numPr>
          <w:ilvl w:val="0"/>
          <w:numId w:val="6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5.4 Plan de Continuidad y Recuperación Verificado: backups y pruebas alineados con RTO 8 h y RPO 24 h.</w:t>
      </w:r>
    </w:p>
    <w:p w:rsidR="00000000" w:rsidDel="00000000" w:rsidP="00000000" w:rsidRDefault="00000000" w:rsidRPr="00000000" w14:paraId="00000032">
      <w:pPr>
        <w:keepLines/>
        <w:numPr>
          <w:ilvl w:val="0"/>
          <w:numId w:val="6"/>
        </w:numPr>
        <w:spacing w:after="24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5.5 Piloto Controlado Habilitado: despliegue acotado para 20 usuarios autorizados del servicio cardiovascular.</w:t>
      </w:r>
    </w:p>
    <w:p w:rsidR="00000000" w:rsidDel="00000000" w:rsidP="00000000" w:rsidRDefault="00000000" w:rsidRPr="00000000" w14:paraId="00000033">
      <w:pPr>
        <w:pStyle w:val="Heading4"/>
        <w:keepLines/>
        <w:spacing w:after="40" w:before="240" w:line="300" w:lineRule="auto"/>
        <w:ind w:left="0" w:right="12.33595800525033" w:firstLine="0"/>
        <w:rPr>
          <w:sz w:val="22"/>
          <w:szCs w:val="22"/>
        </w:rPr>
      </w:pPr>
      <w:bookmarkStart w:colFirst="0" w:colLast="0" w:name="_mmh3tsze56mo" w:id="7"/>
      <w:bookmarkEnd w:id="7"/>
      <w:r w:rsidDel="00000000" w:rsidR="00000000" w:rsidRPr="00000000">
        <w:rPr>
          <w:sz w:val="22"/>
          <w:szCs w:val="22"/>
          <w:rtl w:val="0"/>
        </w:rPr>
        <w:t>6.0 Continuidad Operacional y Seis Ventanas de Evaluación (Meses 1–36)</w:t>
      </w:r>
    </w:p>
    <w:p w:rsidR="00000000" w:rsidDel="00000000" w:rsidP="00000000" w:rsidRDefault="00000000" w:rsidRPr="00000000" w14:paraId="00000034">
      <w:pPr>
        <w:keepLines/>
        <w:numPr>
          <w:ilvl w:val="0"/>
          <w:numId w:val="12"/>
        </w:numPr>
        <w:spacing w:after="0" w:afterAutospacing="0" w:before="24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6.1 Plan de Soporte Operacional Ejecutado: monitoreo del pipeline y gestión de incidencias.</w:t>
      </w:r>
    </w:p>
    <w:p w:rsidR="00000000" w:rsidDel="00000000" w:rsidP="00000000" w:rsidRDefault="00000000" w:rsidRPr="00000000" w14:paraId="00000035">
      <w:pPr>
        <w:keepLines/>
        <w:numPr>
          <w:ilvl w:val="0"/>
          <w:numId w:val="12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6.2 Seis Ventanas Semestrales de Evaluación y Eventual Reentrenamiento: se evalúa deriva, desempeño, equidad y explicabilidad; solo se publica un modelo nuevo si supera validación y aprobación.</w:t>
      </w:r>
    </w:p>
    <w:p w:rsidR="00000000" w:rsidDel="00000000" w:rsidP="00000000" w:rsidRDefault="00000000" w:rsidRPr="00000000" w14:paraId="00000036">
      <w:pPr>
        <w:keepLines/>
        <w:numPr>
          <w:ilvl w:val="0"/>
          <w:numId w:val="12"/>
        </w:numPr>
        <w:spacing w:after="0" w:afterAutospacing="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6.3 Evidencia Mensual de Restauración: pruebas documentadas para verificar RTO y RPO.</w:t>
      </w:r>
    </w:p>
    <w:p w:rsidR="00000000" w:rsidDel="00000000" w:rsidP="00000000" w:rsidRDefault="00000000" w:rsidRPr="00000000" w14:paraId="00000037">
      <w:pPr>
        <w:keepLines/>
        <w:numPr>
          <w:ilvl w:val="0"/>
          <w:numId w:val="12"/>
        </w:numPr>
        <w:spacing w:after="240" w:before="0" w:beforeAutospacing="0" w:line="300" w:lineRule="auto"/>
        <w:ind w:left="720" w:right="12.33595800525033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>6.4 Informes Semestrales de Calidad y Gobierno: resultados técnicos, éticos y normativos documentados.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>
      <w:pPr>
        <w:sectPr>
          <w:type w:val="nextPage"/>
          <w:pgSz w:h="15840" w:w="12240"/>
          <w:pgMar w:bottom="1440" w:top="1440" w:left="1440" w:right="1440" w:header="0" w:footer="720"/>
          <w:pgNumType w:start="1"/>
        </w:sectPr>
      </w:pPr>
    </w:p>
    <w:p>
      <w:pPr>
        <w:keepNext/>
        <w:pageBreakBefore w:val="0"/>
        <w:spacing w:before="0" w:after="40"/>
      </w:pPr>
      <w:r>
        <w:rPr>
          <w:rFonts w:ascii="Arial" w:hAnsi="Arial"/>
          <w:b/>
          <w:color w:val="000000"/>
          <w:sz w:val="40"/>
        </w:rPr>
        <w:t>3. Carta Gantt del piloto Heart Disease</w:t>
      </w:r>
    </w:p>
    <w:p>
      <w:pPr>
        <w:spacing w:after="140"/>
      </w:pPr>
      <w:r>
        <w:rPr>
          <w:rFonts w:ascii="Aptos" w:hAnsi="Aptos"/>
          <w:b w:val="0"/>
          <w:color w:val="464E56"/>
          <w:sz w:val="19"/>
        </w:rPr>
        <w:t>Entregable D13  |  Responsable de planificación Fabián Leal  |  Horizonte de implementación 10 semanas</w:t>
      </w:r>
    </w:p>
    <w:p>
      <w:pPr>
        <w:spacing w:after="140" w:line="240" w:lineRule="auto"/>
      </w:pPr>
      <w:r>
        <w:rPr>
          <w:rFonts w:ascii="Aptos" w:hAnsi="Aptos"/>
          <w:b w:val="0"/>
          <w:color w:val="000000"/>
          <w:sz w:val="18"/>
        </w:rPr>
        <w:t>La planificación mantiene la EDT y la línea base del proyecto. El color identifica la fase de trabajo, la barra muestra su duración y la fila de hitos señala los gates verificables. La columna Pred. permite rastrear la secuencia sin recargar la vista.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cantSplit/>
          <w:tblHeader w:val="true"/>
        </w:trPr>
        <w:tc>
          <w:tcPr>
            <w:tcW w:type="dxa" w:w="79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EDT</w:t>
            </w:r>
          </w:p>
        </w:tc>
        <w:tc>
          <w:tcPr>
            <w:tcW w:type="dxa" w:w="35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16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93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Pred.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S1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S2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S3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S4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S5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S6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S7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S8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S9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S10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1.1</w:t>
            </w:r>
          </w:p>
        </w:tc>
        <w:tc>
          <w:tcPr>
            <w:tcW w:type="dxa" w:w="35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Alcance y requerimientos aprobados</w:t>
            </w:r>
          </w:p>
        </w:tc>
        <w:tc>
          <w:tcPr>
            <w:tcW w:type="dxa" w:w="16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PM / Data</w:t>
            </w:r>
          </w:p>
        </w:tc>
        <w:tc>
          <w:tcPr>
            <w:tcW w:type="dxa" w:w="93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1.2-1.4</w:t>
            </w:r>
          </w:p>
        </w:tc>
        <w:tc>
          <w:tcPr>
            <w:tcW w:type="dxa" w:w="35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Plan de recursos y control TCO</w:t>
            </w:r>
          </w:p>
        </w:tc>
        <w:tc>
          <w:tcPr>
            <w:tcW w:type="dxa" w:w="16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PM / Seguridad</w:t>
            </w:r>
          </w:p>
        </w:tc>
        <w:tc>
          <w:tcPr>
            <w:tcW w:type="dxa" w:w="93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1.1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2.1-2.3</w:t>
            </w:r>
          </w:p>
        </w:tc>
        <w:tc>
          <w:tcPr>
            <w:tcW w:type="dxa" w:w="35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Dataset inicial, gobierno e ingesta batch</w:t>
            </w:r>
          </w:p>
        </w:tc>
        <w:tc>
          <w:tcPr>
            <w:tcW w:type="dxa" w:w="16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Data Engineer</w:t>
            </w:r>
          </w:p>
        </w:tc>
        <w:tc>
          <w:tcPr>
            <w:tcW w:type="dxa" w:w="93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1.1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68C8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68C8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68C8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2.4-2.5</w:t>
            </w:r>
          </w:p>
        </w:tc>
        <w:tc>
          <w:tcPr>
            <w:tcW w:type="dxa" w:w="35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Dataset analítico y almacenamiento seguro</w:t>
            </w:r>
          </w:p>
        </w:tc>
        <w:tc>
          <w:tcPr>
            <w:tcW w:type="dxa" w:w="16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Data Engineer</w:t>
            </w:r>
          </w:p>
        </w:tc>
        <w:tc>
          <w:tcPr>
            <w:tcW w:type="dxa" w:w="93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2.1-2.3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68C8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68C8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3.1-3.2</w:t>
            </w:r>
          </w:p>
        </w:tc>
        <w:tc>
          <w:tcPr>
            <w:tcW w:type="dxa" w:w="35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Modelos candidatos y explicabilidad</w:t>
            </w:r>
          </w:p>
        </w:tc>
        <w:tc>
          <w:tcPr>
            <w:tcW w:type="dxa" w:w="16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Data Scientist</w:t>
            </w:r>
          </w:p>
        </w:tc>
        <w:tc>
          <w:tcPr>
            <w:tcW w:type="dxa" w:w="93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2.4-2.5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3.3-3.4</w:t>
            </w:r>
          </w:p>
        </w:tc>
        <w:tc>
          <w:tcPr>
            <w:tcW w:type="dxa" w:w="35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Servicio de inferencia y pruebas</w:t>
            </w:r>
          </w:p>
        </w:tc>
        <w:tc>
          <w:tcPr>
            <w:tcW w:type="dxa" w:w="16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Dev / Data</w:t>
            </w:r>
          </w:p>
        </w:tc>
        <w:tc>
          <w:tcPr>
            <w:tcW w:type="dxa" w:w="93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3.1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2F75B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4.1-4.2</w:t>
            </w:r>
          </w:p>
        </w:tc>
        <w:tc>
          <w:tcPr>
            <w:tcW w:type="dxa" w:w="35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Validación técnica y auditoría por subgrupos</w:t>
            </w:r>
          </w:p>
        </w:tc>
        <w:tc>
          <w:tcPr>
            <w:tcW w:type="dxa" w:w="16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Data / Ética</w:t>
            </w:r>
          </w:p>
        </w:tc>
        <w:tc>
          <w:tcPr>
            <w:tcW w:type="dxa" w:w="93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3.1 / 3.4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D59B2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D59B2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4.3-4.4</w:t>
            </w:r>
          </w:p>
        </w:tc>
        <w:tc>
          <w:tcPr>
            <w:tcW w:type="dxa" w:w="35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Gobernanza Human in the Loop y deriva</w:t>
            </w:r>
          </w:p>
        </w:tc>
        <w:tc>
          <w:tcPr>
            <w:tcW w:type="dxa" w:w="16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Seg. / Clínicos</w:t>
            </w:r>
          </w:p>
        </w:tc>
        <w:tc>
          <w:tcPr>
            <w:tcW w:type="dxa" w:w="93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4.1-4.2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D59B2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5.1-5.2</w:t>
            </w:r>
          </w:p>
        </w:tc>
        <w:tc>
          <w:tcPr>
            <w:tcW w:type="dxa" w:w="35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Cloud Run, Cloud SQL, Storage, IAM y secretos</w:t>
            </w:r>
          </w:p>
        </w:tc>
        <w:tc>
          <w:tcPr>
            <w:tcW w:type="dxa" w:w="16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Cloud Ops</w:t>
            </w:r>
          </w:p>
        </w:tc>
        <w:tc>
          <w:tcPr>
            <w:tcW w:type="dxa" w:w="93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Arquitectura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5.3-5.4</w:t>
            </w:r>
          </w:p>
        </w:tc>
        <w:tc>
          <w:tcPr>
            <w:tcW w:type="dxa" w:w="35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Observabilidad, costos, backups y RTO RPO</w:t>
            </w:r>
          </w:p>
        </w:tc>
        <w:tc>
          <w:tcPr>
            <w:tcW w:type="dxa" w:w="16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Cloud Ops</w:t>
            </w:r>
          </w:p>
        </w:tc>
        <w:tc>
          <w:tcPr>
            <w:tcW w:type="dxa" w:w="93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5.1-5.2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5.5</w:t>
            </w:r>
          </w:p>
        </w:tc>
        <w:tc>
          <w:tcPr>
            <w:tcW w:type="dxa" w:w="35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Piloto controlado habilitado</w:t>
            </w:r>
          </w:p>
        </w:tc>
        <w:tc>
          <w:tcPr>
            <w:tcW w:type="dxa" w:w="16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Equipo</w:t>
            </w:r>
          </w:p>
        </w:tc>
        <w:tc>
          <w:tcPr>
            <w:tcW w:type="dxa" w:w="93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4.3 + 5.4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4F8A5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1.5</w:t>
            </w:r>
          </w:p>
        </w:tc>
        <w:tc>
          <w:tcPr>
            <w:tcW w:type="dxa" w:w="35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5"/>
              </w:rPr>
              <w:t>Evaluación e informe de cierre del piloto</w:t>
            </w:r>
          </w:p>
        </w:tc>
        <w:tc>
          <w:tcPr>
            <w:tcW w:type="dxa" w:w="16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PM / Equipo</w:t>
            </w:r>
          </w:p>
        </w:tc>
        <w:tc>
          <w:tcPr>
            <w:tcW w:type="dxa" w:w="93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4"/>
              </w:rPr>
              <w:t>5.5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59636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59636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●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59636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Hitos</w:t>
            </w:r>
          </w:p>
        </w:tc>
        <w:tc>
          <w:tcPr>
            <w:tcW w:type="dxa" w:w="352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59636E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Gates de aprobación</w:t>
            </w:r>
          </w:p>
        </w:tc>
        <w:tc>
          <w:tcPr>
            <w:tcW w:type="dxa" w:w="165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59636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FFFFFF"/>
                <w:sz w:val="14"/>
              </w:rPr>
            </w:r>
          </w:p>
        </w:tc>
        <w:tc>
          <w:tcPr>
            <w:tcW w:type="dxa" w:w="936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59636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FFFFFF"/>
                <w:sz w:val="14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5F7F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4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4F8A5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◆H1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5F7F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4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4F8A5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◆H2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4F8A5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◆H3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4F8A5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◆H4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5F7F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4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4F8A5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◆H5</w:t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5F7F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4"/>
              </w:rPr>
            </w:r>
          </w:p>
        </w:tc>
        <w:tc>
          <w:tcPr>
            <w:tcW w:type="dxa" w:w="749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4F8A5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◆H6</w:t>
            </w:r>
          </w:p>
        </w:tc>
      </w:tr>
    </w:tbl>
    <w:p>
      <w:pPr>
        <w:spacing w:before="120" w:after="60"/>
      </w:pPr>
      <w:r>
        <w:rPr>
          <w:rFonts w:ascii="Aptos" w:hAnsi="Aptos"/>
          <w:b/>
          <w:color w:val="000000"/>
          <w:sz w:val="17"/>
        </w:rPr>
        <w:t xml:space="preserve">Hitos: </w:t>
      </w:r>
      <w:r>
        <w:rPr>
          <w:rFonts w:ascii="Aptos" w:hAnsi="Aptos"/>
          <w:b w:val="0"/>
          <w:color w:val="000000"/>
          <w:sz w:val="17"/>
        </w:rPr>
        <w:t>H1 alcance y TCO base (S2)  |  H2 dataset validado (S4)  |  H3 baseline y explicabilidad (S5)  |  H4 gate técnico, ético y continuidad (S6)  |  H5 piloto controlado (S8)  |  H6 cierre del piloto (S10).</w:t>
      </w:r>
    </w:p>
    <w:p>
      <w:pPr>
        <w:spacing w:after="0"/>
      </w:pPr>
      <w:r>
        <w:rPr>
          <w:rFonts w:ascii="Aptos" w:hAnsi="Aptos"/>
          <w:b/>
          <w:color w:val="000000"/>
          <w:sz w:val="16"/>
        </w:rPr>
        <w:t xml:space="preserve">Lectura de la Gantt. </w:t>
      </w:r>
      <w:r>
        <w:rPr>
          <w:rFonts w:ascii="Aptos" w:hAnsi="Aptos"/>
          <w:b w:val="0"/>
          <w:color w:val="000000"/>
          <w:sz w:val="16"/>
        </w:rPr>
        <w:t>Los solapamientos corresponden a trabajo preparatorio compatible con el enfoque adaptativo. Ningún entregable cruza su gate de aprobación sin la evidencia del predecesor indicada. Las 10 semanas son un supuesto de planificación del piloto.</w:t>
      </w:r>
    </w:p>
    <w:p>
      <w:pPr>
        <w:keepNext/>
        <w:pageBreakBefore/>
        <w:spacing w:before="0" w:after="40"/>
      </w:pPr>
      <w:r>
        <w:rPr>
          <w:rFonts w:ascii="Arial" w:hAnsi="Arial"/>
          <w:b/>
          <w:color w:val="000000"/>
          <w:sz w:val="40"/>
        </w:rPr>
        <w:t>Operación y mantenimiento a 36 meses</w:t>
      </w:r>
    </w:p>
    <w:p>
      <w:pPr>
        <w:spacing w:after="140"/>
      </w:pPr>
      <w:r>
        <w:rPr>
          <w:rFonts w:ascii="Aptos" w:hAnsi="Aptos"/>
          <w:b w:val="0"/>
          <w:color w:val="464E56"/>
          <w:sz w:val="19"/>
        </w:rPr>
        <w:t>Heart Disease Dataset  |  Continuidad, evaluación y eventual reentrenamiento</w:t>
      </w:r>
    </w:p>
    <w:p>
      <w:pPr>
        <w:spacing w:after="140" w:line="240" w:lineRule="auto"/>
      </w:pPr>
      <w:r>
        <w:rPr>
          <w:rFonts w:ascii="Aptos" w:hAnsi="Aptos"/>
          <w:b w:val="0"/>
          <w:color w:val="000000"/>
          <w:sz w:val="18"/>
        </w:rPr>
        <w:t>La operación se representa en seis bloques semestrales para mantener legibilidad. Las barras continuas indican actividades recurrentes; los diamantes H7 indican ventanas de evaluación. Una ventana no implica publicar automáticamente un modelo nuevo.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cantSplit/>
          <w:tblHeader w:val="true"/>
        </w:trPr>
        <w:tc>
          <w:tcPr>
            <w:tcW w:type="dxa" w:w="7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EDT</w:t>
            </w:r>
          </w:p>
        </w:tc>
        <w:tc>
          <w:tcPr>
            <w:tcW w:type="dxa" w:w="338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Entregable recurrente</w:t>
            </w:r>
          </w:p>
        </w:tc>
        <w:tc>
          <w:tcPr>
            <w:tcW w:type="dxa" w:w="144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M1-6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M7-12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M13-18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M19-24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M25-30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M31-36</w:t>
            </w:r>
          </w:p>
        </w:tc>
        <w:tc>
          <w:tcPr>
            <w:tcW w:type="dxa" w:w="208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2.2</w:t>
            </w:r>
          </w:p>
        </w:tc>
        <w:tc>
          <w:tcPr>
            <w:tcW w:type="dxa" w:w="338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Pipeline de ingesta batch</w:t>
            </w:r>
          </w:p>
        </w:tc>
        <w:tc>
          <w:tcPr>
            <w:tcW w:type="dxa" w:w="144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Diaria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68C8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68C8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68C8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68C8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68C8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168C8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208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Registro de cargas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5.3</w:t>
            </w:r>
          </w:p>
        </w:tc>
        <w:tc>
          <w:tcPr>
            <w:tcW w:type="dxa" w:w="338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Observabilidad y control de costos</w:t>
            </w:r>
          </w:p>
        </w:tc>
        <w:tc>
          <w:tcPr>
            <w:tcW w:type="dxa" w:w="144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Continua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208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Logs y alertas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5.4</w:t>
            </w:r>
          </w:p>
        </w:tc>
        <w:tc>
          <w:tcPr>
            <w:tcW w:type="dxa" w:w="338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Backups diario y semanal</w:t>
            </w:r>
          </w:p>
        </w:tc>
        <w:tc>
          <w:tcPr>
            <w:tcW w:type="dxa" w:w="144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Continua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8064A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208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Bitácora de respaldos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6.3</w:t>
            </w:r>
          </w:p>
        </w:tc>
        <w:tc>
          <w:tcPr>
            <w:tcW w:type="dxa" w:w="338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Pruebas de restauración</w:t>
            </w:r>
          </w:p>
        </w:tc>
        <w:tc>
          <w:tcPr>
            <w:tcW w:type="dxa" w:w="144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Mensual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59636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59636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59636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59636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59636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59636E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208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Resultado RTO y RPO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6.4</w:t>
            </w:r>
          </w:p>
        </w:tc>
        <w:tc>
          <w:tcPr>
            <w:tcW w:type="dxa" w:w="338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Auditoría de calidad, equidad y gobierno</w:t>
            </w:r>
          </w:p>
        </w:tc>
        <w:tc>
          <w:tcPr>
            <w:tcW w:type="dxa" w:w="144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Semestral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D59B2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D59B2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D59B2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D59B2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D59B2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D59B2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●</w:t>
            </w:r>
          </w:p>
        </w:tc>
        <w:tc>
          <w:tcPr>
            <w:tcW w:type="dxa" w:w="208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Informe semestral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6.2</w:t>
            </w:r>
          </w:p>
        </w:tc>
        <w:tc>
          <w:tcPr>
            <w:tcW w:type="dxa" w:w="3384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000000"/>
                <w:sz w:val="16"/>
              </w:rPr>
              <w:t>Evaluación y eventual reentrenamiento</w:t>
            </w:r>
          </w:p>
        </w:tc>
        <w:tc>
          <w:tcPr>
            <w:tcW w:type="dxa" w:w="1440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Mes 6, 12, 18, 24, 30 y 36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4F8A5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◆ H7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4F8A5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◆ H7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4F8A5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◆ H7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4F8A5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◆ H7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4F8A5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◆ H7</w:t>
            </w:r>
          </w:p>
        </w:tc>
        <w:tc>
          <w:tcPr>
            <w:tcW w:type="dxa" w:w="1152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4F8A5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◆ H7</w:t>
            </w:r>
          </w:p>
        </w:tc>
        <w:tc>
          <w:tcPr>
            <w:tcW w:type="dxa" w:w="2088"/>
            <w:vAlign w:val="center"/>
            <w:tcBorders>
              <w:top w:val="single" w:sz="4" w:color="D9E1E8"/>
              <w:left w:val="single" w:sz="4" w:color="D9E1E8"/>
              <w:bottom w:val="single" w:sz="4" w:color="D9E1E8"/>
              <w:right w:val="single" w:sz="4" w:color="D9E1E8"/>
            </w:tcBorders>
            <w:tcMar>
              <w:top w:w="70" w:type="dxa"/>
              <w:start w:w="70" w:type="dxa"/>
              <w:bottom w:w="70" w:type="dxa"/>
              <w:end w:w="70" w:type="dxa"/>
            </w:tcMar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5"/>
              </w:rPr>
              <w:t>Acta H7</w:t>
            </w:r>
          </w:p>
        </w:tc>
      </w:tr>
    </w:tbl>
    <w:p>
      <w:pPr>
        <w:spacing w:before="200" w:after="80"/>
      </w:pPr>
      <w:r>
        <w:rPr>
          <w:rFonts w:ascii="Aptos" w:hAnsi="Aptos"/>
          <w:b/>
          <w:color w:val="000000"/>
          <w:sz w:val="22"/>
        </w:rPr>
        <w:t>Regla de decisión en cada H7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00000"/>
          <w:sz w:val="18"/>
        </w:rPr>
        <w:t>Evaluar deriva de datos y desempeño del modelo con los criterios aprobados durante la validación.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00000"/>
          <w:sz w:val="18"/>
        </w:rPr>
        <w:t>Revisar diferencias por subgrupos, explicabilidad y riesgos de sesgo; documentar mitigaciones o aceptación.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color w:val="000000"/>
          <w:sz w:val="18"/>
        </w:rPr>
        <w:t>Reentrenar solo si la evidencia lo justifica y publicar una versión nueva únicamente después de validación técnica y aprobación clínica.</w:t>
      </w:r>
    </w:p>
    <w:p>
      <w:pPr>
        <w:spacing w:before="160" w:after="60"/>
      </w:pPr>
      <w:r>
        <w:rPr>
          <w:rFonts w:ascii="Aptos" w:hAnsi="Aptos"/>
          <w:b/>
          <w:color w:val="000000"/>
          <w:sz w:val="22"/>
        </w:rPr>
        <w:t>Ruta crítica de implementación</w:t>
      </w:r>
    </w:p>
    <w:p>
      <w:pPr>
        <w:spacing w:after="60"/>
        <w:jc w:val="center"/>
      </w:pPr>
      <w:r>
        <w:rPr>
          <w:rFonts w:ascii="Aptos" w:hAnsi="Aptos"/>
          <w:b/>
          <w:color w:val="2D4B69"/>
          <w:sz w:val="18"/>
        </w:rPr>
        <w:t>1.1 Alcance  →  2.4 Dataset analítico  →  3.1 Modelo candidato  →  3.3 Servicio de inferencia  →  4.1 y 4.2 Validación  →  4.3 Gate Human in the Loop  →  5.5 Piloto  →  1.5 Cierre</w:t>
      </w:r>
    </w:p>
    <w:p>
      <w:pPr>
        <w:spacing w:before="120" w:after="0"/>
      </w:pPr>
      <w:r>
        <w:rPr>
          <w:rFonts w:ascii="Aptos" w:hAnsi="Aptos"/>
          <w:b/>
          <w:color w:val="000000"/>
          <w:sz w:val="17"/>
        </w:rPr>
        <w:t xml:space="preserve">Supuestos conservados: </w:t>
      </w:r>
      <w:r>
        <w:rPr>
          <w:rFonts w:ascii="Aptos" w:hAnsi="Aptos"/>
          <w:b w:val="0"/>
          <w:color w:val="000000"/>
          <w:sz w:val="17"/>
        </w:rPr>
        <w:t>piloto controlado; arquitectura Cloud Run + Cloud SQL + Cloud Storage; 20 usuarios iniciales; RTO 8 h; RPO 24 h; batch diario; seis ventanas semestrales de evaluación y eventual reentrenamiento.</w:t>
      </w:r>
    </w:p>
    <w:p>
      <w:pPr>
        <w:sectPr>
          <w:type w:val="nextPage"/>
          <w:pgSz w:h="12240" w:w="15840" w:orient="landscape"/>
          <w:pgMar w:bottom="605" w:top="605" w:left="648" w:right="648" w:header="0" w:footer="720"/>
          <w:pgNumType w:start="1"/>
        </w:sectPr>
      </w:pPr>
    </w:p>
    <w:p w:rsidR="00000000" w:rsidDel="00000000" w:rsidP="00000000" w:rsidRDefault="00000000" w:rsidRPr="00000000" w14:paraId="00000133">
      <w:pPr>
        <w:pStyle w:val="Heading2"/>
        <w:keepLines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</w:t>
      </w:r>
      <w:r w:rsidDel="00000000" w:rsidR="00000000" w:rsidRPr="00000000">
        <w:rPr>
          <w:color w:val="2b6cb0"/>
          <w:rtl w:val="0"/>
        </w:rPr>
        <w:t xml:space="preserve">Hitos y Puntos de Control (Gates) — Entregable D14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La evaluación del proyecto se articula mediante puntos de control (quality gates), donde la transición hacia la siguiente fase requiere la aprobación explícita de los criterios técnicos, financieros, éticos y operacionales.</w:t>
      </w:r>
    </w:p>
    <w:p w:rsidR="00000000" w:rsidDel="00000000" w:rsidP="00000000" w:rsidRDefault="00000000" w:rsidRPr="00000000" w14:paraId="00000135">
      <w:pPr>
        <w:spacing w:lin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6.666666666666" w:type="dxa"/>
        <w:jc w:val="left"/>
        <w:tblInd w:w="-366.66666666666686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920"/>
        <w:gridCol w:w="1515"/>
        <w:gridCol w:w="3240"/>
        <w:gridCol w:w="2386.666666666666"/>
        <w:tblGridChange w:id="0">
          <w:tblGrid>
            <w:gridCol w:w="915"/>
            <w:gridCol w:w="1920"/>
            <w:gridCol w:w="1515"/>
            <w:gridCol w:w="3240"/>
            <w:gridCol w:w="2386.666666666666"/>
          </w:tblGrid>
        </w:tblGridChange>
      </w:tblGrid>
      <w:tr>
        <w:trPr>
          <w:cantSplit w:val="0"/>
          <w:trHeight w:val="1069.9999999999955" w:hRule="atLeast"/>
          <w:tblHeader w:val="0"/>
          <w:tblHeader w:val="true"/>
          <w:cantSplit/>
        </w:trPr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Cód.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Hito / Punto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Semana /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Criterio de Salida y Aprobación (Gate)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Entregable /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0.0000000000045" w:hRule="atLeast"/>
          <w:tblHeader w:val="0"/>
          <w:cantSplit/>
        </w:trPr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H1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Aprobación de Alcance y TCO Base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Semana 2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>TCO Cloud de $10.815.487 y plan de 532 h validados como líneas base de control.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Acta de inicio firmada</w:t>
            </w:r>
          </w:p>
        </w:tc>
      </w:tr>
      <w:tr>
        <w:trPr>
          <w:cantSplit w:val="0"/>
          <w:trHeight w:val="2190" w:hRule="atLeast"/>
          <w:tblHeader w:val="0"/>
          <w:cantSplit/>
        </w:trPr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H2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Dataset Limpio y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Pseudonimizado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Semana 4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>Dataset analítico equivalente al supuesto de dimensionamiento de 10.000 registros, con identificadores directos eliminados o pseudonimizados, controles de acceso y pipeline batch verificado.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Dataset validado + script de carga</w:t>
            </w:r>
          </w:p>
        </w:tc>
      </w:tr>
      <w:tr>
        <w:trPr>
          <w:cantSplit w:val="0"/>
          <w:trHeight w:val="2190" w:hRule="atLeast"/>
          <w:tblHeader w:val="0"/>
          <w:cantSplit/>
        </w:trPr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H3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Baseline de IA y Explicabilidad SHAP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Semana 5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>Modelo candidato comparado con el baseline y criterios técnicos aprobados durante la validación; explicabilidad documentada.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Reporte de desempeño y SHAP plots</w:t>
            </w:r>
          </w:p>
        </w:tc>
      </w:tr>
      <w:tr>
        <w:trPr>
          <w:cantSplit w:val="0"/>
          <w:trHeight w:val="2475" w:hRule="atLeast"/>
          <w:tblHeader w:val="0"/>
          <w:cantSplit/>
        </w:trPr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H4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Certificación Ética, SLA y DRP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Semana 6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>Auditoría por subgrupos ejecutada; riesgos de sesgo identificados, documentados y mitigados o aceptados; continuidad verificada.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>Informe de auditoría y evidencia de restauración</w:t>
            </w:r>
          </w:p>
        </w:tc>
      </w:tr>
      <w:tr>
        <w:trPr>
          <w:cantSplit w:val="0"/>
          <w:trHeight w:val="1920" w:hRule="atLeast"/>
          <w:tblHeader w:val="0"/>
          <w:cantSplit/>
        </w:trPr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H5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Puesta en Marcha del Piloto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Semana 8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>Cloud Run, Cloud SQL, Cloud Storage, Secret Manager e IAM configurados; 20 usuarios habilitados en entorno controlado.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>Piloto controlado habilitado</w:t>
            </w:r>
          </w:p>
        </w:tc>
      </w:tr>
      <w:tr>
        <w:trPr>
          <w:cantSplit w:val="0"/>
          <w:trHeight w:val="2190" w:hRule="atLeast"/>
          <w:tblHeader w:val="0"/>
          <w:cantSplit/>
        </w:trPr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H6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Cierre de Piloto e Informe Consolidado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Semana 10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>Evaluación final del piloto, lecciones y decisiones de continuidad documentadas.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>Informe de cierre del piloto</w:t>
            </w:r>
          </w:p>
        </w:tc>
      </w:tr>
      <w:tr>
        <w:trPr>
          <w:cantSplit w:val="0"/>
          <w:trHeight w:val="2190" w:hRule="atLeast"/>
          <w:tblHeader w:val="0"/>
          <w:cantSplit/>
        </w:trPr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H7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rtl w:val="0"/>
              </w:rPr>
              <w:t>Gate Semestral de Evaluación y Eventual Reentrenamiento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Meses 6, 12, 18, 24, 30, 36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>Deriva, desempeño, equidad y explicabilidad evaluados; publicación de un modelo nuevo solo con validación y aprobación clínica.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Acta de aprobación del comité médico</w:t>
            </w:r>
          </w:p>
        </w:tc>
      </w:tr>
    </w:tbl>
    <w:p>
      <w:pPr>
        <w:pStyle w:val="Heading2"/>
        <w:pageBreakBefore/>
      </w:pPr>
      <w:r>
        <w:t>4.1 Dependencias y Predecesores Explícitos</w:t>
      </w:r>
    </w:p>
    <w:p>
      <w:r>
        <w:t>Las dependencias principales son de fin a inicio (FS): el entregable predecesor debe estar aceptado antes de comenzar el sucesor. Las actividades paralelas se mantienen cuando no comprometen el gate asociado.</w:t>
      </w:r>
    </w:p>
    <w:tbl>
      <w:tblPr>
        <w:tblStyle w:val="Table2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  <w:tblHeader w:val="true"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Sucesor EDT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Entregable predecesor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Resultado que habilita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1.2 Plan de equipo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1.1 Alcance aprobado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Roles y horas asignados sobre alcance estable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2.1 Dataset inicial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1.1 Alcance aprobado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Variables y reglas de acceso definidas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2.4 Dataset analítico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2.1 y 2.3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Datos disponibles con controles aplicados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3.1 Modelos candidatos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2.4 Dataset analítico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Datos preparados para entrenamiento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3.3 Servicio de inferencia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3.1 Modelos candidatos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Artefacto de modelo disponible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4.1 Validación técnica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3.1 y 3.4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Resultados y pruebas disponibles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4.3 Protocolo Human in the Loop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4.1 y 4.2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Riesgos técnicos y de sesgo documentados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5.1 Entorno GCP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1.1 y arquitectura de Lucas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Cloud Run, Cloud SQL y Cloud Storage autorizados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5.5 Piloto controlado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4.3, 5.2, 5.3 y 5.4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Gate ético, seguridad y continuidad aprobados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1.5 Informe de cierre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5.5 Piloto controlado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Resultados del piloto disponibles</w:t>
            </w:r>
          </w:p>
        </w:tc>
      </w:tr>
      <w:tr>
        <w:trPr>
          <w:cantSplit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6.2 Ventanas de evaluación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5.5 y operación con datos nuevos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Evidencia para decidir si reentrenar</w:t>
            </w:r>
          </w:p>
        </w:tc>
      </w:tr>
    </w:tbl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160">
      <w:pPr>
        <w:pStyle w:val="Heading2"/>
        <w:keepLines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>5. Asignación de Recursos y Plan de Horas de RRHH — Entregables D14 / D7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>El presupuesto de Recursos Humanos mantiene trazabilidad entre la planificación temporal y el TCO. En Cloud se desglosan 272 h de implementación y 260 h de operación, para un total de 532 h. La comparación por alternativa conserva los roles comunes de Ignacio y cambia únicamente la operación específica.</w:t>
      </w:r>
    </w:p>
    <w:tbl>
      <w:tblPr>
        <w:tblStyle w:val="Table3"/>
        <w:tblW w:w="10081.666666666668" w:type="dxa"/>
        <w:jc w:val="left"/>
        <w:tblInd w:w="-400.00000000000006" w:type="dxa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460"/>
        <w:gridCol w:w="1410"/>
        <w:gridCol w:w="1680"/>
        <w:gridCol w:w="1380"/>
        <w:gridCol w:w="1185"/>
        <w:gridCol w:w="1966.6666666666679"/>
        <w:tblGridChange w:id="0">
          <w:tblGrid>
            <w:gridCol w:w="2460"/>
            <w:gridCol w:w="1410"/>
            <w:gridCol w:w="1680"/>
            <w:gridCol w:w="1380"/>
            <w:gridCol w:w="1185"/>
            <w:gridCol w:w="1966.6666666666679"/>
          </w:tblGrid>
        </w:tblGridChange>
      </w:tblGrid>
      <w:tr>
        <w:trPr>
          <w:cantSplit w:val="0"/>
          <w:tblHeader w:val="1"/>
          <w:tblHeader w:val="true"/>
          <w:cantSplit/>
        </w:trPr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Rol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Tarifas ($/h)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Horas Impl. (10 sem)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Horas Mant. (36 meses)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Horas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Costo Total (CLP)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Scientist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$16.000 CLP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100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120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220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$3.520.000 CLP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Desarrollador / Data Engineer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$14.000 CLP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80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40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120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$1.680.000 CLP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Especialista en Seguridad y Gobierno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$16.000 CLP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32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40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72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$1.152.000 CLP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DevOps / Cloud Ops Engineer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$16.000 CLP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60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60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120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$1.920.000 CLP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TOTALES BASE CLOUD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272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260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532 h</w:t>
            </w:r>
          </w:p>
        </w:tc>
        <w:tc>
          <w:tcPr>
            <w:tcBorders>
              <w:top w:color="cbd5e0" w:space="0" w:sz="5" w:val="single"/>
              <w:left w:color="cbd5e0" w:space="0" w:sz="5" w:val="single"/>
              <w:bottom w:color="cbd5e0" w:space="0" w:sz="5" w:val="single"/>
              <w:right w:color="cbd5e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$8.272.000 CLP</w:t>
            </w:r>
          </w:p>
        </w:tc>
      </w:tr>
    </w:tbl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Lines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Análisis de Sensibilidad por Escenario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>Escenario 1: Base Cloud ($8.272.000 CLP en RRHH | 532 horas totales).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t>Representa la arquitectura Cloud evaluada: Cloud Run, Cloud SQL y Cloud Storage, con operación específica de 120 h Cloud/DevOps.</w:t>
      </w:r>
    </w:p>
    <w:p w:rsidR="00000000" w:rsidDel="00000000" w:rsidP="00000000" w:rsidRDefault="00000000" w:rsidRPr="00000000" w14:paraId="0000018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>Escenario 2: Infraestructura Local ($9.952.000 CLP en RRHH | 712 horas totales).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t>Mantiene 412 h de roles comunes y agrega 300 h de SysAdmin a $12.000/h para parches, respaldo, recuperación y administración física; total 712 h.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>Escenario 3: Arquitectura Híbrida ($10.832.000 CLP en RRHH | 692 horas totales).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firstLine="0"/>
        <w:rPr/>
      </w:pPr>
      <w:r w:rsidDel="00000000" w:rsidR="00000000" w:rsidRPr="00000000">
        <w:rPr>
          <w:rtl w:val="0"/>
        </w:rPr>
        <w:t>Mantiene 412 h de roles comunes y agrega 280 h de Integración/DevOps a $16.000/h para sincronización, seguridad y soporte de dos entornos; total 692 h.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18F">
      <w:pPr>
        <w:pStyle w:val="Heading2"/>
        <w:keepLines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>6. Insumos Preliminares de Riesgos de Planificación para Vicente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>Esta tabla reúne únicamente riesgos y cuellos de botella de planificación que Fabián entrega a Vicente. No sustituye la matriz integral D15–D17, donde Vicente debe consolidar categorías, causas, consecuencias, prioridad, mitigación, responsable y riesgo residual.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005"/>
        <w:gridCol w:w="5775"/>
        <w:gridCol w:w="1385.0000000000005"/>
        <w:gridCol w:w="1434.9999999999995"/>
        <w:tblGridChange w:id="0">
          <w:tblGrid>
            <w:gridCol w:w="1005"/>
            <w:gridCol w:w="5775"/>
            <w:gridCol w:w="1385.0000000000005"/>
            <w:gridCol w:w="1434.9999999999995"/>
          </w:tblGrid>
        </w:tblGridChange>
      </w:tblGrid>
      <w:tr>
        <w:trPr>
          <w:cantSplit w:val="0"/>
          <w:tblHeader w:val="1"/>
          <w:tblHeader w:val="true"/>
          <w:cantSplit/>
        </w:trPr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Riesgo / Cuello de Botella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Prob</w:t>
            </w: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shd w:fill="1a365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="276" w:lineRule="auto"/>
              <w:jc w:val="center"/>
              <w:rPr>
                <w:color w:val="f7fafc"/>
              </w:rPr>
            </w:pPr>
            <w:r w:rsidDel="00000000" w:rsidR="00000000" w:rsidRPr="00000000">
              <w:rPr>
                <w:b w:val="1"/>
                <w:bCs w:val="1"/>
                <w:color w:val="f7fafc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R1</w:t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>Desviación de Horas de RRHH</w:t>
              <w:br/>
              <w:t>(Representa el 76,5% del TCO Cloud validado)</w:t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R2</w:t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Retraso en Aprobación Ética/Legal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jc w:val="center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(Uso de GCP e integración de datos de salud)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Media</w:t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R3</w:t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Fallas en Ingesta Batch Incremental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jc w:val="center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(Descalce o inconsistencia de datos al cierre)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Baja</w:t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  <w:cantSplit/>
        </w:trPr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R4</w:t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Volatilidad Cambiaria y Sobrecosto Cloud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jc w:val="center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(Fluctuaciones del USD respecto al CLP)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Alta</w:t>
            </w:r>
          </w:p>
        </w:tc>
        <w:tc>
          <w:tcPr>
            <w:tcBorders>
              <w:top w:color="cbd5e0" w:space="0" w:sz="3" w:val="single"/>
              <w:left w:color="cbd5e0" w:space="0" w:sz="3" w:val="single"/>
              <w:bottom w:color="cbd5e0" w:space="0" w:sz="3" w:val="single"/>
              <w:right w:color="cbd5e0" w:space="0" w:sz="3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="276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1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7. </w:t>
      </w:r>
      <w:r w:rsidDel="00000000" w:rsidR="00000000" w:rsidRPr="00000000">
        <w:rPr>
          <w:color w:val="2b6cb0"/>
          <w:rtl w:val="0"/>
        </w:rPr>
        <w:t xml:space="preserve">Criterios de Aceptación, Calidad y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0" w:firstLine="0"/>
        <w:rPr/>
      </w:pPr>
      <w:r w:rsidDel="00000000" w:rsidR="00000000" w:rsidRPr="00000000">
        <w:rPr>
          <w:rtl w:val="0"/>
        </w:rPr>
        <w:t>Para cerrar la fase de implementación del piloto y sostener su operación durante 36 meses, se establecen criterios de aceptación verificables y sujetos a aprobación.</w:t>
      </w:r>
    </w:p>
    <w:p w:rsidR="00000000" w:rsidDel="00000000" w:rsidP="00000000" w:rsidRDefault="00000000" w:rsidRPr="00000000" w14:paraId="000001AD">
      <w:pPr>
        <w:spacing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7.1 Criterios de Aceptación del Sistema y Piloto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Lines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>Desempeño Técnico del Modelo: el modelo candidato debe compararse con el baseline definido durante la evaluación y cumplir los criterios de sensibilidad, especificidad, estabilidad y utilidad acordados con la contraparte clínica; los umbrales numéricos se fijan y documentan durante la validación.</w:t>
      </w:r>
    </w:p>
    <w:p w:rsidR="00000000" w:rsidDel="00000000" w:rsidP="00000000" w:rsidRDefault="00000000" w:rsidRPr="00000000" w14:paraId="000001AF">
      <w:pPr>
        <w:keepLines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>Gobernanza y Explicabilidad: las predicciones mostradas en el piloto deben acompañarse de la explicación definida en el protocolo y permanecer sujetas a revisión humana.</w:t>
      </w:r>
    </w:p>
    <w:p w:rsidR="00000000" w:rsidDel="00000000" w:rsidP="00000000" w:rsidRDefault="00000000" w:rsidRPr="00000000" w14:paraId="000001B0">
      <w:pPr>
        <w:keepLines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Continuidad de Servicio y </w:t>
      </w:r>
      <w:r w:rsidDel="00000000" w:rsidR="00000000" w:rsidRPr="00000000">
        <w:rPr>
          <w:b w:val="1"/>
          <w:bCs w:val="1"/>
          <w:rtl w:val="0"/>
        </w:rPr>
        <w:t xml:space="preserve">SLA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 de ingesta batch incremental con RTO ≤ 8 horas y RPO ≤ 24 horas verificado mediante pruebas de restauración en GCP.</w:t>
      </w:r>
    </w:p>
    <w:p w:rsidR="00000000" w:rsidDel="00000000" w:rsidP="00000000" w:rsidRDefault="00000000" w:rsidRPr="00000000" w14:paraId="000001B1">
      <w:pPr>
        <w:keepLines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>Seguridad y Cumplimiento: identificadores directos eliminados o pseudonimizados, datos de salud tratados como sensibles, credenciales gestionadas con Secret Manager y acceso controlado mediante IAM de mínimo privilegio.</w:t>
      </w:r>
    </w:p>
    <w:p w:rsidR="00000000" w:rsidDel="00000000" w:rsidP="00000000" w:rsidRDefault="00000000" w:rsidRPr="00000000" w14:paraId="000001B2">
      <w:pPr>
        <w:keepLines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>Control Presupuestario: seguimiento contra el TCO Cloud validado de $10.815.487 CLP, 532 horas de RRHH y contingencia de 10% equivalente a $983.226 CLP.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before="240" w:line="300" w:lineRule="auto"/>
        <w:rPr/>
      </w:pPr>
      <w:r w:rsidDel="00000000" w:rsidR="00000000" w:rsidRPr="00000000">
        <w:rPr>
          <w:b w:val="1"/>
          <w:bCs w:val="1"/>
          <w:rtl w:val="0"/>
        </w:rPr>
        <w:t>7.2 Notas de Integración y Siguientes Pasos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Consolidación de Entregables: </w:t>
      </w:r>
      <w:r w:rsidDel="00000000" w:rsidR="00000000" w:rsidRPr="00000000">
        <w:rPr>
          <w:rtl w:val="0"/>
        </w:rPr>
        <w:t xml:space="preserve">Integrar la presente planificación (D12–D14) con los módulos de arquitectura técnica de Lucas (D1–D6) y la evaluación financiera de Ignacio (D7–D11) para conformar el informe consolidado final de 4 a 6 páginas.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Inicio Formal de la Fase de Desarrollo (Semana 1):</w:t>
      </w:r>
      <w:r w:rsidDel="00000000" w:rsidR="00000000" w:rsidRPr="00000000">
        <w:rPr>
          <w:rtl w:val="0"/>
        </w:rPr>
        <w:t xml:space="preserve"> Convocar la reunión de inicio (kickoff) con el equipo técnico para activar el consumo de las primeras 272 horas de implementación.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spacing w:line="3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Seguimiento Continuo: </w:t>
      </w:r>
      <w:r w:rsidDel="00000000" w:rsidR="00000000" w:rsidRPr="00000000">
        <w:rPr>
          <w:rtl w:val="0"/>
        </w:rPr>
        <w:t xml:space="preserve">Aplicar la pauta de control semanal sobre la Carta Gantt y los hitos formales (gates) para mitigar los cuellos de botella de personal y gobernanza legal.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Planificación del Proyecto Heart Disease con Carta Gantt Integrada</dc:title>
  <cp:lastModifiedBy>python-docx</cp:lastModifiedBy>
  <cp:revision>1</cp:revision>
  <dcterms:modified xsi:type="dcterms:W3CDTF">2026-09-10T08:05:54Z</dcterms:modified>
</cp:coreProperties>
</file>