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FDDC1" w14:textId="77777777" w:rsidR="0095229B" w:rsidRDefault="0095229B">
      <w:pPr>
        <w:pStyle w:val="Ttulo1"/>
        <w:rPr>
          <w:rFonts w:ascii="Aptos" w:eastAsia="Times New Roman" w:hAnsi="Aptos"/>
          <w:color w:val="111111"/>
          <w:lang w:val="es-ES"/>
        </w:rPr>
      </w:pPr>
      <w:r>
        <w:rPr>
          <w:rFonts w:ascii="Aptos" w:eastAsia="Times New Roman" w:hAnsi="Aptos"/>
          <w:color w:val="111111"/>
          <w:lang w:val="es-ES"/>
        </w:rPr>
        <w:t>Evaluación financiera Cloud Local e Híbrida</w:t>
      </w:r>
    </w:p>
    <w:p w14:paraId="037B036B" w14:textId="77777777" w:rsidR="0095229B" w:rsidRDefault="0095229B">
      <w:pPr>
        <w:pStyle w:val="subtitle"/>
        <w:spacing w:before="0" w:beforeAutospacing="0"/>
        <w:rPr>
          <w:rFonts w:ascii="Aptos" w:hAnsi="Aptos"/>
          <w:color w:val="111111"/>
          <w:lang w:val="es-ES"/>
        </w:rPr>
      </w:pPr>
      <w:r>
        <w:rPr>
          <w:rFonts w:ascii="Aptos" w:hAnsi="Aptos"/>
          <w:color w:val="111111"/>
          <w:lang w:val="es-ES"/>
        </w:rPr>
        <w:t>Heart Disease Dataset · Entregables D7 a D11 · Responsable: Ignacio Silva</w:t>
      </w:r>
    </w:p>
    <w:p w14:paraId="213ECC3B" w14:textId="77777777" w:rsidR="0095229B" w:rsidRDefault="0095229B">
      <w:pPr>
        <w:pStyle w:val="NormalWeb"/>
        <w:rPr>
          <w:rFonts w:ascii="Aptos" w:hAnsi="Aptos"/>
          <w:color w:val="111111"/>
          <w:sz w:val="21"/>
          <w:szCs w:val="21"/>
          <w:lang w:val="es-ES"/>
        </w:rPr>
      </w:pPr>
      <w:r>
        <w:rPr>
          <w:rFonts w:ascii="Aptos" w:hAnsi="Aptos"/>
          <w:b/>
          <w:bCs/>
          <w:color w:val="111111"/>
          <w:sz w:val="21"/>
          <w:szCs w:val="21"/>
          <w:lang w:val="es-ES"/>
        </w:rPr>
        <w:t>Propósito.</w:t>
      </w:r>
      <w:r>
        <w:rPr>
          <w:rFonts w:ascii="Aptos" w:hAnsi="Aptos"/>
          <w:color w:val="111111"/>
          <w:sz w:val="21"/>
          <w:szCs w:val="21"/>
          <w:lang w:val="es-ES"/>
        </w:rPr>
        <w:t xml:space="preserve"> Este documento cierra la evaluación financiera del piloto institucional de apoyo a la prevención cardiovascular. Se comparan Cloud, Local e Híbrida en las mismas condiciones operacionales durante 36 meses. El resultado financiero favorece Cloud, pero la decisión final del equipo debe integrarse con las restricciones éticas, legales y de riesgos.</w:t>
      </w:r>
    </w:p>
    <w:p w14:paraId="012DBB4B" w14:textId="77777777" w:rsidR="0095229B" w:rsidRDefault="0095229B">
      <w:pPr>
        <w:pStyle w:val="muted"/>
        <w:spacing w:before="0" w:beforeAutospacing="0" w:after="140"/>
        <w:rPr>
          <w:rFonts w:ascii="Aptos" w:hAnsi="Aptos"/>
          <w:sz w:val="21"/>
          <w:szCs w:val="21"/>
          <w:lang w:val="es-ES"/>
        </w:rPr>
      </w:pPr>
      <w:r>
        <w:rPr>
          <w:rFonts w:ascii="Aptos" w:hAnsi="Aptos"/>
          <w:b/>
          <w:bCs/>
          <w:sz w:val="21"/>
          <w:szCs w:val="21"/>
          <w:lang w:val="es-ES"/>
        </w:rPr>
        <w:t>Resultado principal: el TCO estimado a 36 meses es $10.815.487 para Cloud, $16.893.013 para Local y $15.696.956 para Híbrida. Los valores se expresan en pesos chilenos (CLP), incluyen contingencia de 10% y son estimaciones de planificación, no cotizaciones vinculantes.</w:t>
      </w:r>
    </w:p>
    <w:p w14:paraId="5276E724" w14:textId="77777777" w:rsidR="0095229B" w:rsidRDefault="0095229B">
      <w:pPr>
        <w:pStyle w:val="Ttulo2"/>
        <w:rPr>
          <w:rFonts w:ascii="Aptos" w:eastAsia="Times New Roman" w:hAnsi="Aptos"/>
          <w:color w:val="111111"/>
          <w:lang w:val="es-ES"/>
        </w:rPr>
      </w:pPr>
      <w:r>
        <w:rPr>
          <w:rFonts w:ascii="Aptos" w:eastAsia="Times New Roman" w:hAnsi="Aptos"/>
          <w:color w:val="111111"/>
          <w:lang w:val="es-ES"/>
        </w:rPr>
        <w:t>1. D7 Modelo de costos y supuestos comunes</w:t>
      </w:r>
    </w:p>
    <w:p w14:paraId="368E2114" w14:textId="77777777" w:rsidR="0095229B" w:rsidRDefault="0095229B">
      <w:pPr>
        <w:pStyle w:val="NormalWeb"/>
        <w:rPr>
          <w:rFonts w:ascii="Aptos" w:hAnsi="Aptos"/>
          <w:color w:val="111111"/>
          <w:sz w:val="21"/>
          <w:szCs w:val="21"/>
          <w:lang w:val="es-ES"/>
        </w:rPr>
      </w:pPr>
      <w:r>
        <w:rPr>
          <w:rFonts w:ascii="Aptos" w:hAnsi="Aptos"/>
          <w:color w:val="111111"/>
          <w:sz w:val="21"/>
          <w:szCs w:val="21"/>
          <w:lang w:val="es-ES"/>
        </w:rPr>
        <w:t>Se utiliza Costo Total de Propiedad (TCO) a 36 meses. Esta decisión mantiene la trazabilidad con el Informe Maestro de Lucas: el horizonte permite comparar una alternativa con mayor CAPEX inicial con otra basada en pagos mensuales, sin proyectar a un plazo demasiado incierto.</w:t>
      </w:r>
    </w:p>
    <w:p w14:paraId="0597C8C5" w14:textId="77777777" w:rsidR="0095229B" w:rsidRDefault="0095229B">
      <w:pPr>
        <w:pStyle w:val="formula"/>
        <w:rPr>
          <w:rFonts w:ascii="Aptos" w:hAnsi="Aptos"/>
          <w:color w:val="111111"/>
          <w:sz w:val="21"/>
          <w:szCs w:val="21"/>
          <w:lang w:val="es-ES"/>
        </w:rPr>
      </w:pPr>
      <w:r>
        <w:rPr>
          <w:rFonts w:ascii="Aptos" w:hAnsi="Aptos"/>
          <w:color w:val="111111"/>
          <w:sz w:val="21"/>
          <w:szCs w:val="21"/>
          <w:lang w:val="es-ES"/>
        </w:rPr>
        <w:t>TCO 36 meses = CAPEX + implementación y RRHH + OPEX recurrente + costos de mantención + contingencia</w:t>
      </w:r>
    </w:p>
    <w:tbl>
      <w:tblPr>
        <w:tblW w:w="5000" w:type="pct"/>
        <w:tblCellMar>
          <w:top w:w="15" w:type="dxa"/>
          <w:left w:w="15" w:type="dxa"/>
          <w:bottom w:w="15" w:type="dxa"/>
          <w:right w:w="15" w:type="dxa"/>
        </w:tblCellMar>
        <w:tblLook w:val="04A0" w:firstRow="1" w:lastRow="0" w:firstColumn="1" w:lastColumn="0" w:noHBand="0" w:noVBand="1"/>
      </w:tblPr>
      <w:tblGrid>
        <w:gridCol w:w="1692"/>
        <w:gridCol w:w="2602"/>
        <w:gridCol w:w="4528"/>
      </w:tblGrid>
      <w:tr w:rsidR="00000000" w14:paraId="05793837" w14:textId="77777777">
        <w:trPr>
          <w:tblHeader w:val="true"/>
          <w:cantSplit/>
        </w:trPr>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2AFDF281"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Supuesto común</w:t>
            </w:r>
          </w:p>
        </w:tc>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6B4CF688"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Valor utilizado</w:t>
            </w:r>
          </w:p>
        </w:tc>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029ABE0A"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Origen y tratamiento</w:t>
            </w:r>
          </w:p>
        </w:tc>
      </w:tr>
      <w:tr w:rsidR="00000000" w14:paraId="10E4A550"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166E3A67"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Horizonte</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1DC3302B"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36 meses</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641B9309"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Supuesto cerrado por Lucas para las tres alternativas.</w:t>
            </w:r>
          </w:p>
        </w:tc>
      </w:tr>
      <w:tr w:rsidR="00000000" w14:paraId="770B5152"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2EA6B28C"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Etapa</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4C1C7F73"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Piloto institucional controlado</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7C522967"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No corresponde a producción hospitalaria completa ni a un notebook académico.</w:t>
            </w:r>
          </w:p>
        </w:tc>
      </w:tr>
      <w:tr w:rsidR="00000000" w14:paraId="78EE1383"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083BAF34"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Usuarios y concurrencia</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74BD0D78"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Año 1: 20 / 5; Año 2: 25 / 6; Año 3: 30 / 8</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13BA9B8C"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Supuesto de dimensionamiento de Lucas. Mismo servicio funcional en los tres casos.</w:t>
            </w:r>
          </w:p>
        </w:tc>
      </w:tr>
      <w:tr w:rsidR="00000000" w14:paraId="07D394EB"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606F77A2"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Datos</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2F4D632F"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10.000 registros iniciales; 5.000 nuevos en año 1; crecimiento 10% anual</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46E2DA0A"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Supuesto de planificación de Lucas. Batch incremental diario e inferencia bajo demanda.</w:t>
            </w:r>
          </w:p>
        </w:tc>
      </w:tr>
      <w:tr w:rsidR="00000000" w14:paraId="67F0DBF9"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5B04A255"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Mantenimiento del modelo</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5BD4821A"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6 ventanas en 36 meses</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028FF684"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Dos ciclos al año, con validación antes de publicar un modelo nuevo.</w:t>
            </w:r>
          </w:p>
        </w:tc>
      </w:tr>
      <w:tr w:rsidR="00000000" w14:paraId="37FEAA7C"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1E33DE3E"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Continuidad</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46E1A187"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99% horario operacional; RTO 8 h; RPO 24 h</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58FE89F0"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Backups diarios, copia completa semanal, retención 30 días y prueba mensual.</w:t>
            </w:r>
          </w:p>
        </w:tc>
      </w:tr>
      <w:tr w:rsidR="00000000" w14:paraId="436F4739"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3FDF18E9"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lastRenderedPageBreak/>
              <w:t>Moneda y tipo de cambio</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6CCB6F85"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CLP; $930 por USD</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53822917"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Supuesto de planificación para convertir tarifarios GCP en USD; redondeado y conservador.</w:t>
            </w:r>
          </w:p>
        </w:tc>
      </w:tr>
      <w:tr w:rsidR="00000000" w14:paraId="76DDED00"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1F0C36D1"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Licencias base</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329FB2FD"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$0</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33A25D31"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Python, Pandas, NumPy, scikit-learn, PostgreSQL, SHAP, FastAPI, Streamlit, Docker y Git son herramientas open source en el escenario base.</w:t>
            </w:r>
          </w:p>
        </w:tc>
      </w:tr>
      <w:tr w:rsidR="00000000" w14:paraId="4B8CCD6E"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3ADA0ECA"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Contingencia</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5A76238A"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10% del subtotal</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013E3BE7"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Supuesto de planificación aplicado igual a las tres opciones.</w:t>
            </w:r>
          </w:p>
        </w:tc>
      </w:tr>
    </w:tbl>
    <w:p w14:paraId="73B1DDDC" w14:textId="77777777" w:rsidR="0095229B" w:rsidRDefault="0095229B">
      <w:pPr>
        <w:pStyle w:val="Ttulo3"/>
        <w:rPr>
          <w:rFonts w:ascii="Aptos" w:eastAsia="Times New Roman" w:hAnsi="Aptos"/>
          <w:color w:val="111111"/>
          <w:lang w:val="es-ES"/>
        </w:rPr>
      </w:pPr>
      <w:r>
        <w:rPr>
          <w:rFonts w:ascii="Aptos" w:eastAsia="Times New Roman" w:hAnsi="Aptos"/>
          <w:color w:val="111111"/>
          <w:lang w:val="es-ES"/>
        </w:rPr>
        <w:t>Modelo de RRHH</w:t>
      </w:r>
    </w:p>
    <w:p w14:paraId="0999319E" w14:textId="77777777" w:rsidR="0095229B" w:rsidRDefault="0095229B">
      <w:pPr>
        <w:pStyle w:val="NormalWeb"/>
        <w:rPr>
          <w:rFonts w:ascii="Aptos" w:hAnsi="Aptos"/>
          <w:color w:val="111111"/>
          <w:sz w:val="21"/>
          <w:szCs w:val="21"/>
          <w:lang w:val="es-ES"/>
        </w:rPr>
      </w:pPr>
      <w:r>
        <w:rPr>
          <w:rFonts w:ascii="Aptos" w:hAnsi="Aptos"/>
          <w:color w:val="111111"/>
          <w:sz w:val="21"/>
          <w:szCs w:val="21"/>
          <w:lang w:val="es-ES"/>
        </w:rPr>
        <w:t>Las tarifas son supuestos de planificación, no remuneraciones reales ni cotizaciones. Horas por rol: Data/ML 220 h (100 de implementación, 72 para seis ventanas de evaluación y eventual reentrenamiento, y 48 de revisión); Desarrollo/Data Engineering 120 h; Seguridad y Gobierno 72 h. La operación específica agrega 120 h Cloud/DevOps, 300 h SysAdmin Local o 280 h Integración/DevOps Híbrida. Totales por suma: 532 h Cloud, 712 h Local y 692 h Híbrida. Fabián debe controlar estas horas en EDT/Gantt; toda variación obliga a recalcular el TCO.</w:t>
      </w:r>
    </w:p>
    <w:tbl>
      <w:tblPr>
        <w:tblW w:w="5000" w:type="pct"/>
        <w:tblCellMar>
          <w:top w:w="15" w:type="dxa"/>
          <w:left w:w="15" w:type="dxa"/>
          <w:bottom w:w="15" w:type="dxa"/>
          <w:right w:w="15" w:type="dxa"/>
        </w:tblCellMar>
        <w:tblLook w:val="04A0" w:firstRow="1" w:lastRow="0" w:firstColumn="1" w:lastColumn="0" w:noHBand="0" w:noVBand="1"/>
      </w:tblPr>
      <w:tblGrid>
        <w:gridCol w:w="1568"/>
        <w:gridCol w:w="1542"/>
        <w:gridCol w:w="1883"/>
        <w:gridCol w:w="1540"/>
        <w:gridCol w:w="2289"/>
      </w:tblGrid>
      <w:tr w:rsidR="00000000" w14:paraId="708D0478" w14:textId="77777777">
        <w:trPr>
          <w:tblHeader w:val="true"/>
          <w:cantSplit/>
        </w:trPr>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55113511"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Rol</w:t>
            </w:r>
          </w:p>
        </w:tc>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102DAFA3"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Tarifa de planificación</w:t>
            </w:r>
          </w:p>
        </w:tc>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43B7A741"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Cloud</w:t>
            </w:r>
          </w:p>
        </w:tc>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77983470"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Local</w:t>
            </w:r>
          </w:p>
        </w:tc>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2520A600"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Híbrida</w:t>
            </w:r>
          </w:p>
        </w:tc>
      </w:tr>
      <w:tr w:rsidR="00000000" w14:paraId="02F95249"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6CF171D1"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Data Scientist / ML</w:t>
            </w:r>
          </w:p>
        </w:tc>
        <w:tc>
          <w:tcPr>
            <w:tcW w:w="0" w:type="auto"/>
            <w:tcBorders>
              <w:top w:val="single" w:sz="6" w:space="0" w:color="D9D9D9"/>
              <w:left w:val="single" w:sz="6" w:space="0" w:color="D9D9D9"/>
              <w:bottom w:val="single" w:sz="6" w:space="0" w:color="D9D9D9"/>
              <w:right w:val="single" w:sz="6" w:space="0" w:color="D9D9D9"/>
            </w:tcBorders>
            <w:noWrap/>
            <w:tcMar>
              <w:top w:w="100" w:type="dxa"/>
              <w:left w:w="120" w:type="dxa"/>
              <w:bottom w:w="100" w:type="dxa"/>
              <w:right w:w="120" w:type="dxa"/>
            </w:tcMar>
            <w:vAlign w:val="center"/>
            <w:hideMark/>
          </w:tcPr>
          <w:p w14:paraId="05A85371" w14:textId="77777777" w:rsidR="0095229B" w:rsidRDefault="0095229B">
            <w:pPr>
              <w:spacing w:before="160" w:after="240"/>
              <w:jc w:val="right"/>
              <w:rPr>
                <w:rFonts w:ascii="Aptos" w:eastAsia="Times New Roman" w:hAnsi="Aptos"/>
                <w:color w:val="111111"/>
                <w:sz w:val="18"/>
                <w:szCs w:val="18"/>
              </w:rPr>
            </w:pPr>
            <w:r>
              <w:rPr>
                <w:rFonts w:ascii="Aptos" w:eastAsia="Times New Roman" w:hAnsi="Aptos"/>
                <w:color w:val="111111"/>
                <w:sz w:val="18"/>
                <w:szCs w:val="18"/>
              </w:rPr>
              <w:t>$16.000/h</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2595DAE9" w14:textId="77777777" w:rsidR="0095229B" w:rsidRDefault="0095229B">
            <w:pPr>
              <w:spacing w:before="160" w:after="240"/>
              <w:jc w:val="center"/>
              <w:rPr>
                <w:rFonts w:ascii="Aptos" w:eastAsia="Times New Roman" w:hAnsi="Aptos"/>
                <w:color w:val="111111"/>
                <w:sz w:val="18"/>
                <w:szCs w:val="18"/>
              </w:rPr>
            </w:pPr>
            <w:r>
              <w:rPr>
                <w:rFonts w:ascii="Aptos" w:eastAsia="Times New Roman" w:hAnsi="Aptos"/>
                <w:color w:val="111111"/>
                <w:sz w:val="18"/>
                <w:szCs w:val="18"/>
              </w:rPr>
              <w:t>220 h</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00FBF3B7" w14:textId="77777777" w:rsidR="0095229B" w:rsidRDefault="0095229B">
            <w:pPr>
              <w:spacing w:before="160" w:after="240"/>
              <w:jc w:val="center"/>
              <w:rPr>
                <w:rFonts w:ascii="Aptos" w:eastAsia="Times New Roman" w:hAnsi="Aptos"/>
                <w:color w:val="111111"/>
                <w:sz w:val="18"/>
                <w:szCs w:val="18"/>
              </w:rPr>
            </w:pPr>
            <w:r>
              <w:rPr>
                <w:rFonts w:ascii="Aptos" w:eastAsia="Times New Roman" w:hAnsi="Aptos"/>
                <w:color w:val="111111"/>
                <w:sz w:val="18"/>
                <w:szCs w:val="18"/>
              </w:rPr>
              <w:t>220 h</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5CC16981" w14:textId="77777777" w:rsidR="0095229B" w:rsidRDefault="0095229B">
            <w:pPr>
              <w:spacing w:before="160" w:after="240"/>
              <w:jc w:val="center"/>
              <w:rPr>
                <w:rFonts w:ascii="Aptos" w:eastAsia="Times New Roman" w:hAnsi="Aptos"/>
                <w:color w:val="111111"/>
                <w:sz w:val="18"/>
                <w:szCs w:val="18"/>
              </w:rPr>
            </w:pPr>
            <w:r>
              <w:rPr>
                <w:rFonts w:ascii="Aptos" w:eastAsia="Times New Roman" w:hAnsi="Aptos"/>
                <w:color w:val="111111"/>
                <w:sz w:val="18"/>
                <w:szCs w:val="18"/>
              </w:rPr>
              <w:t>220 h</w:t>
            </w:r>
          </w:p>
        </w:tc>
      </w:tr>
      <w:tr w:rsidR="00000000" w14:paraId="0DCA5CD4"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31D65FFC"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Desarrollo / Data Engineering</w:t>
            </w:r>
          </w:p>
        </w:tc>
        <w:tc>
          <w:tcPr>
            <w:tcW w:w="0" w:type="auto"/>
            <w:tcBorders>
              <w:top w:val="single" w:sz="6" w:space="0" w:color="D9D9D9"/>
              <w:left w:val="single" w:sz="6" w:space="0" w:color="D9D9D9"/>
              <w:bottom w:val="single" w:sz="6" w:space="0" w:color="D9D9D9"/>
              <w:right w:val="single" w:sz="6" w:space="0" w:color="D9D9D9"/>
            </w:tcBorders>
            <w:noWrap/>
            <w:tcMar>
              <w:top w:w="100" w:type="dxa"/>
              <w:left w:w="120" w:type="dxa"/>
              <w:bottom w:w="100" w:type="dxa"/>
              <w:right w:w="120" w:type="dxa"/>
            </w:tcMar>
            <w:vAlign w:val="center"/>
            <w:hideMark/>
          </w:tcPr>
          <w:p w14:paraId="082D1980" w14:textId="77777777" w:rsidR="0095229B" w:rsidRDefault="0095229B">
            <w:pPr>
              <w:spacing w:before="160" w:after="240"/>
              <w:jc w:val="right"/>
              <w:rPr>
                <w:rFonts w:ascii="Aptos" w:eastAsia="Times New Roman" w:hAnsi="Aptos"/>
                <w:color w:val="111111"/>
                <w:sz w:val="18"/>
                <w:szCs w:val="18"/>
              </w:rPr>
            </w:pPr>
            <w:r>
              <w:rPr>
                <w:rFonts w:ascii="Aptos" w:eastAsia="Times New Roman" w:hAnsi="Aptos"/>
                <w:color w:val="111111"/>
                <w:sz w:val="18"/>
                <w:szCs w:val="18"/>
              </w:rPr>
              <w:t>$14.000/h</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4537EA8A" w14:textId="77777777" w:rsidR="0095229B" w:rsidRDefault="0095229B">
            <w:pPr>
              <w:spacing w:before="160" w:after="240"/>
              <w:jc w:val="center"/>
              <w:rPr>
                <w:rFonts w:ascii="Aptos" w:eastAsia="Times New Roman" w:hAnsi="Aptos"/>
                <w:color w:val="111111"/>
                <w:sz w:val="18"/>
                <w:szCs w:val="18"/>
              </w:rPr>
            </w:pPr>
            <w:r>
              <w:rPr>
                <w:rFonts w:ascii="Aptos" w:eastAsia="Times New Roman" w:hAnsi="Aptos"/>
                <w:color w:val="111111"/>
                <w:sz w:val="18"/>
                <w:szCs w:val="18"/>
              </w:rPr>
              <w:t>120 h</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0D2D7BF7" w14:textId="77777777" w:rsidR="0095229B" w:rsidRDefault="0095229B">
            <w:pPr>
              <w:spacing w:before="160" w:after="240"/>
              <w:jc w:val="center"/>
              <w:rPr>
                <w:rFonts w:ascii="Aptos" w:eastAsia="Times New Roman" w:hAnsi="Aptos"/>
                <w:color w:val="111111"/>
                <w:sz w:val="18"/>
                <w:szCs w:val="18"/>
              </w:rPr>
            </w:pPr>
            <w:r>
              <w:rPr>
                <w:rFonts w:ascii="Aptos" w:eastAsia="Times New Roman" w:hAnsi="Aptos"/>
                <w:color w:val="111111"/>
                <w:sz w:val="18"/>
                <w:szCs w:val="18"/>
              </w:rPr>
              <w:t>120 h</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24F95F51" w14:textId="77777777" w:rsidR="0095229B" w:rsidRDefault="0095229B">
            <w:pPr>
              <w:spacing w:before="160" w:after="240"/>
              <w:jc w:val="center"/>
              <w:rPr>
                <w:rFonts w:ascii="Aptos" w:eastAsia="Times New Roman" w:hAnsi="Aptos"/>
                <w:color w:val="111111"/>
                <w:sz w:val="18"/>
                <w:szCs w:val="18"/>
              </w:rPr>
            </w:pPr>
            <w:r>
              <w:rPr>
                <w:rFonts w:ascii="Aptos" w:eastAsia="Times New Roman" w:hAnsi="Aptos"/>
                <w:color w:val="111111"/>
                <w:sz w:val="18"/>
                <w:szCs w:val="18"/>
              </w:rPr>
              <w:t>120 h</w:t>
            </w:r>
          </w:p>
        </w:tc>
      </w:tr>
      <w:tr w:rsidR="00000000" w14:paraId="65142FB7"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2757DF8C"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Seguridad y gobierno</w:t>
            </w:r>
          </w:p>
        </w:tc>
        <w:tc>
          <w:tcPr>
            <w:tcW w:w="0" w:type="auto"/>
            <w:tcBorders>
              <w:top w:val="single" w:sz="6" w:space="0" w:color="D9D9D9"/>
              <w:left w:val="single" w:sz="6" w:space="0" w:color="D9D9D9"/>
              <w:bottom w:val="single" w:sz="6" w:space="0" w:color="D9D9D9"/>
              <w:right w:val="single" w:sz="6" w:space="0" w:color="D9D9D9"/>
            </w:tcBorders>
            <w:noWrap/>
            <w:tcMar>
              <w:top w:w="100" w:type="dxa"/>
              <w:left w:w="120" w:type="dxa"/>
              <w:bottom w:w="100" w:type="dxa"/>
              <w:right w:w="120" w:type="dxa"/>
            </w:tcMar>
            <w:vAlign w:val="center"/>
            <w:hideMark/>
          </w:tcPr>
          <w:p w14:paraId="7127CFFA" w14:textId="77777777" w:rsidR="0095229B" w:rsidRDefault="0095229B">
            <w:pPr>
              <w:spacing w:before="160" w:after="240"/>
              <w:jc w:val="right"/>
              <w:rPr>
                <w:rFonts w:ascii="Aptos" w:eastAsia="Times New Roman" w:hAnsi="Aptos"/>
                <w:color w:val="111111"/>
                <w:sz w:val="18"/>
                <w:szCs w:val="18"/>
              </w:rPr>
            </w:pPr>
            <w:r>
              <w:rPr>
                <w:rFonts w:ascii="Aptos" w:eastAsia="Times New Roman" w:hAnsi="Aptos"/>
                <w:color w:val="111111"/>
                <w:sz w:val="18"/>
                <w:szCs w:val="18"/>
              </w:rPr>
              <w:t>$16.000/h</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1F62AD06" w14:textId="77777777" w:rsidR="0095229B" w:rsidRDefault="0095229B">
            <w:pPr>
              <w:spacing w:before="160" w:after="240"/>
              <w:jc w:val="center"/>
              <w:rPr>
                <w:rFonts w:ascii="Aptos" w:eastAsia="Times New Roman" w:hAnsi="Aptos"/>
                <w:color w:val="111111"/>
                <w:sz w:val="18"/>
                <w:szCs w:val="18"/>
              </w:rPr>
            </w:pPr>
            <w:r>
              <w:rPr>
                <w:rFonts w:ascii="Aptos" w:eastAsia="Times New Roman" w:hAnsi="Aptos"/>
                <w:color w:val="111111"/>
                <w:sz w:val="18"/>
                <w:szCs w:val="18"/>
              </w:rPr>
              <w:t>72 h</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279474C1" w14:textId="77777777" w:rsidR="0095229B" w:rsidRDefault="0095229B">
            <w:pPr>
              <w:spacing w:before="160" w:after="240"/>
              <w:jc w:val="center"/>
              <w:rPr>
                <w:rFonts w:ascii="Aptos" w:eastAsia="Times New Roman" w:hAnsi="Aptos"/>
                <w:color w:val="111111"/>
                <w:sz w:val="18"/>
                <w:szCs w:val="18"/>
              </w:rPr>
            </w:pPr>
            <w:r>
              <w:rPr>
                <w:rFonts w:ascii="Aptos" w:eastAsia="Times New Roman" w:hAnsi="Aptos"/>
                <w:color w:val="111111"/>
                <w:sz w:val="18"/>
                <w:szCs w:val="18"/>
              </w:rPr>
              <w:t>72 h</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054FE516" w14:textId="77777777" w:rsidR="0095229B" w:rsidRDefault="0095229B">
            <w:pPr>
              <w:spacing w:before="160" w:after="240"/>
              <w:jc w:val="center"/>
              <w:rPr>
                <w:rFonts w:ascii="Aptos" w:eastAsia="Times New Roman" w:hAnsi="Aptos"/>
                <w:color w:val="111111"/>
                <w:sz w:val="18"/>
                <w:szCs w:val="18"/>
              </w:rPr>
            </w:pPr>
            <w:r>
              <w:rPr>
                <w:rFonts w:ascii="Aptos" w:eastAsia="Times New Roman" w:hAnsi="Aptos"/>
                <w:color w:val="111111"/>
                <w:sz w:val="18"/>
                <w:szCs w:val="18"/>
              </w:rPr>
              <w:t>72 h</w:t>
            </w:r>
          </w:p>
        </w:tc>
      </w:tr>
      <w:tr w:rsidR="00000000" w14:paraId="71B5C26B"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52777E8F"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Operación específica</w:t>
            </w:r>
          </w:p>
        </w:tc>
        <w:tc>
          <w:tcPr>
            <w:tcW w:w="0" w:type="auto"/>
            <w:tcBorders>
              <w:top w:val="single" w:sz="6" w:space="0" w:color="D9D9D9"/>
              <w:left w:val="single" w:sz="6" w:space="0" w:color="D9D9D9"/>
              <w:bottom w:val="single" w:sz="6" w:space="0" w:color="D9D9D9"/>
              <w:right w:val="single" w:sz="6" w:space="0" w:color="D9D9D9"/>
            </w:tcBorders>
            <w:noWrap/>
            <w:tcMar>
              <w:top w:w="100" w:type="dxa"/>
              <w:left w:w="120" w:type="dxa"/>
              <w:bottom w:w="100" w:type="dxa"/>
              <w:right w:w="120" w:type="dxa"/>
            </w:tcMar>
            <w:vAlign w:val="center"/>
            <w:hideMark/>
          </w:tcPr>
          <w:p w14:paraId="4D3F102F" w14:textId="77777777" w:rsidR="0095229B" w:rsidRDefault="0095229B">
            <w:pPr>
              <w:spacing w:before="160" w:after="240"/>
              <w:jc w:val="right"/>
              <w:rPr>
                <w:rFonts w:ascii="Aptos" w:eastAsia="Times New Roman" w:hAnsi="Aptos"/>
                <w:color w:val="111111"/>
                <w:sz w:val="18"/>
                <w:szCs w:val="18"/>
              </w:rPr>
            </w:pPr>
            <w:r>
              <w:rPr>
                <w:rFonts w:ascii="Aptos" w:eastAsia="Times New Roman" w:hAnsi="Aptos"/>
                <w:color w:val="111111"/>
                <w:sz w:val="18"/>
                <w:szCs w:val="18"/>
              </w:rPr>
              <w:t>Según rol</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075CCBEC" w14:textId="77777777" w:rsidR="0095229B" w:rsidRDefault="0095229B">
            <w:pPr>
              <w:spacing w:before="160" w:after="240"/>
              <w:jc w:val="center"/>
              <w:rPr>
                <w:rFonts w:ascii="Aptos" w:eastAsia="Times New Roman" w:hAnsi="Aptos"/>
                <w:color w:val="111111"/>
                <w:sz w:val="18"/>
                <w:szCs w:val="18"/>
              </w:rPr>
            </w:pPr>
            <w:r>
              <w:rPr>
                <w:rFonts w:ascii="Aptos" w:eastAsia="Times New Roman" w:hAnsi="Aptos"/>
                <w:color w:val="111111"/>
                <w:sz w:val="18"/>
                <w:szCs w:val="18"/>
              </w:rPr>
              <w:t>Cloud/DevOps: 120 h a $16.000/h</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0E07BEFB" w14:textId="77777777" w:rsidR="0095229B" w:rsidRDefault="0095229B">
            <w:pPr>
              <w:spacing w:before="160" w:after="240"/>
              <w:jc w:val="center"/>
              <w:rPr>
                <w:rFonts w:ascii="Aptos" w:eastAsia="Times New Roman" w:hAnsi="Aptos"/>
                <w:color w:val="111111"/>
                <w:sz w:val="18"/>
                <w:szCs w:val="18"/>
              </w:rPr>
            </w:pPr>
            <w:r>
              <w:rPr>
                <w:rFonts w:ascii="Aptos" w:eastAsia="Times New Roman" w:hAnsi="Aptos"/>
                <w:color w:val="111111"/>
                <w:sz w:val="18"/>
                <w:szCs w:val="18"/>
              </w:rPr>
              <w:t>SysAdmin: 300 h a $12.000/h</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5A365708" w14:textId="77777777" w:rsidR="0095229B" w:rsidRDefault="0095229B">
            <w:pPr>
              <w:spacing w:before="160" w:after="240"/>
              <w:jc w:val="center"/>
              <w:rPr>
                <w:rFonts w:ascii="Aptos" w:eastAsia="Times New Roman" w:hAnsi="Aptos"/>
                <w:color w:val="111111"/>
                <w:sz w:val="18"/>
                <w:szCs w:val="18"/>
              </w:rPr>
            </w:pPr>
            <w:r>
              <w:rPr>
                <w:rFonts w:ascii="Aptos" w:eastAsia="Times New Roman" w:hAnsi="Aptos"/>
                <w:color w:val="111111"/>
                <w:sz w:val="18"/>
                <w:szCs w:val="18"/>
              </w:rPr>
              <w:t>Integración/DevOps: 280 h a $16.000/h</w:t>
            </w:r>
          </w:p>
        </w:tc>
      </w:tr>
      <w:tr w:rsidR="00000000" w14:paraId="415DEFAB" w14:textId="77777777">
        <w:trPr>
          <w:cantSplit/>
        </w:trPr>
        <w:tc>
          <w:tcPr>
            <w:tcW w:w="0" w:type="auto"/>
            <w:gridSpan w:val="2"/>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hideMark/>
          </w:tcPr>
          <w:p w14:paraId="64F06E04" w14:textId="77777777" w:rsidR="0095229B" w:rsidRDefault="0095229B">
            <w:pPr>
              <w:spacing w:before="160" w:after="240"/>
              <w:rPr>
                <w:rFonts w:ascii="Aptos" w:eastAsia="Times New Roman" w:hAnsi="Aptos"/>
                <w:b/>
                <w:bCs/>
                <w:color w:val="111111"/>
                <w:sz w:val="18"/>
                <w:szCs w:val="18"/>
              </w:rPr>
            </w:pPr>
            <w:r>
              <w:rPr>
                <w:rFonts w:ascii="Aptos" w:eastAsia="Times New Roman" w:hAnsi="Aptos"/>
                <w:b/>
                <w:bCs/>
                <w:color w:val="111111"/>
                <w:sz w:val="18"/>
                <w:szCs w:val="18"/>
              </w:rPr>
              <w:t>Suma de roles</w:t>
            </w:r>
          </w:p>
        </w:tc>
        <w:tc>
          <w:tcPr>
            <w:tcW w:w="0" w:type="auto"/>
            <w:tcBorders>
              <w:top w:val="single" w:sz="6" w:space="0" w:color="D9D9D9"/>
              <w:left w:val="single" w:sz="6" w:space="0" w:color="D9D9D9"/>
              <w:bottom w:val="single" w:sz="6" w:space="0" w:color="D9D9D9"/>
              <w:right w:val="single" w:sz="6" w:space="0" w:color="D9D9D9"/>
            </w:tcBorders>
            <w:shd w:val="clear" w:color="auto" w:fill="D9EAF7"/>
            <w:noWrap/>
            <w:tcMar>
              <w:top w:w="100" w:type="dxa"/>
              <w:left w:w="120" w:type="dxa"/>
              <w:bottom w:w="100" w:type="dxa"/>
              <w:right w:w="120" w:type="dxa"/>
            </w:tcMar>
            <w:vAlign w:val="center"/>
            <w:hideMark/>
          </w:tcPr>
          <w:p w14:paraId="76B98610" w14:textId="77777777" w:rsidR="0095229B" w:rsidRDefault="0095229B">
            <w:pPr>
              <w:spacing w:before="160" w:after="240"/>
              <w:jc w:val="right"/>
              <w:rPr>
                <w:rFonts w:ascii="Aptos" w:eastAsia="Times New Roman" w:hAnsi="Aptos"/>
                <w:b/>
                <w:bCs/>
                <w:color w:val="111111"/>
                <w:sz w:val="18"/>
                <w:szCs w:val="18"/>
              </w:rPr>
            </w:pPr>
            <w:r>
              <w:rPr>
                <w:rFonts w:ascii="Aptos" w:eastAsia="Times New Roman" w:hAnsi="Aptos"/>
                <w:b/>
                <w:bCs/>
                <w:color w:val="111111"/>
                <w:sz w:val="18"/>
                <w:szCs w:val="18"/>
              </w:rPr>
              <w:t>532 h / $8.272.000</w:t>
            </w:r>
          </w:p>
        </w:tc>
        <w:tc>
          <w:tcPr>
            <w:tcW w:w="0" w:type="auto"/>
            <w:tcBorders>
              <w:top w:val="single" w:sz="6" w:space="0" w:color="D9D9D9"/>
              <w:left w:val="single" w:sz="6" w:space="0" w:color="D9D9D9"/>
              <w:bottom w:val="single" w:sz="6" w:space="0" w:color="D9D9D9"/>
              <w:right w:val="single" w:sz="6" w:space="0" w:color="D9D9D9"/>
            </w:tcBorders>
            <w:shd w:val="clear" w:color="auto" w:fill="D9EAF7"/>
            <w:noWrap/>
            <w:tcMar>
              <w:top w:w="100" w:type="dxa"/>
              <w:left w:w="120" w:type="dxa"/>
              <w:bottom w:w="100" w:type="dxa"/>
              <w:right w:w="120" w:type="dxa"/>
            </w:tcMar>
            <w:vAlign w:val="center"/>
            <w:hideMark/>
          </w:tcPr>
          <w:p w14:paraId="46590242" w14:textId="77777777" w:rsidR="0095229B" w:rsidRDefault="0095229B">
            <w:pPr>
              <w:spacing w:before="160" w:after="240"/>
              <w:jc w:val="right"/>
              <w:rPr>
                <w:rFonts w:ascii="Aptos" w:eastAsia="Times New Roman" w:hAnsi="Aptos"/>
                <w:b/>
                <w:bCs/>
                <w:color w:val="111111"/>
                <w:sz w:val="18"/>
                <w:szCs w:val="18"/>
              </w:rPr>
            </w:pPr>
            <w:r>
              <w:rPr>
                <w:rFonts w:ascii="Aptos" w:eastAsia="Times New Roman" w:hAnsi="Aptos"/>
                <w:b/>
                <w:bCs/>
                <w:color w:val="111111"/>
                <w:sz w:val="18"/>
                <w:szCs w:val="18"/>
              </w:rPr>
              <w:t>712 h / $9.952.000</w:t>
            </w:r>
          </w:p>
        </w:tc>
        <w:tc>
          <w:tcPr>
            <w:tcW w:w="0" w:type="auto"/>
            <w:tcBorders>
              <w:top w:val="single" w:sz="6" w:space="0" w:color="D9D9D9"/>
              <w:left w:val="single" w:sz="6" w:space="0" w:color="D9D9D9"/>
              <w:bottom w:val="single" w:sz="6" w:space="0" w:color="D9D9D9"/>
              <w:right w:val="single" w:sz="6" w:space="0" w:color="D9D9D9"/>
            </w:tcBorders>
            <w:shd w:val="clear" w:color="auto" w:fill="D9EAF7"/>
            <w:noWrap/>
            <w:tcMar>
              <w:top w:w="100" w:type="dxa"/>
              <w:left w:w="120" w:type="dxa"/>
              <w:bottom w:w="100" w:type="dxa"/>
              <w:right w:w="120" w:type="dxa"/>
            </w:tcMar>
            <w:vAlign w:val="center"/>
            <w:hideMark/>
          </w:tcPr>
          <w:p w14:paraId="5FB86DEC" w14:textId="77777777" w:rsidR="0095229B" w:rsidRDefault="0095229B">
            <w:pPr>
              <w:spacing w:before="160" w:after="240"/>
              <w:jc w:val="right"/>
              <w:rPr>
                <w:rFonts w:ascii="Aptos" w:eastAsia="Times New Roman" w:hAnsi="Aptos"/>
                <w:b/>
                <w:bCs/>
                <w:color w:val="111111"/>
                <w:sz w:val="18"/>
                <w:szCs w:val="18"/>
              </w:rPr>
            </w:pPr>
            <w:r>
              <w:rPr>
                <w:rFonts w:ascii="Aptos" w:eastAsia="Times New Roman" w:hAnsi="Aptos"/>
                <w:b/>
                <w:bCs/>
                <w:color w:val="111111"/>
                <w:sz w:val="18"/>
                <w:szCs w:val="18"/>
              </w:rPr>
              <w:t>692 h / $10.832.000</w:t>
            </w:r>
          </w:p>
        </w:tc>
      </w:tr>
    </w:tbl>
    <w:p w14:paraId="4BC05367" w14:textId="77777777" w:rsidR="0095229B" w:rsidRDefault="0095229B">
      <w:pPr>
        <w:pStyle w:val="Ttulo2"/>
        <w:rPr>
          <w:rFonts w:ascii="Aptos" w:eastAsia="Times New Roman" w:hAnsi="Aptos"/>
          <w:color w:val="111111"/>
          <w:lang w:val="es-ES"/>
        </w:rPr>
      </w:pPr>
      <w:r>
        <w:rPr>
          <w:rFonts w:ascii="Aptos" w:eastAsia="Times New Roman" w:hAnsi="Aptos"/>
          <w:color w:val="111111"/>
          <w:lang w:val="es-ES"/>
        </w:rPr>
        <w:t>2. D8 Evaluación financiera Cloud</w:t>
      </w:r>
    </w:p>
    <w:p w14:paraId="2C4C7FEB" w14:textId="77777777" w:rsidR="0095229B" w:rsidRDefault="0095229B">
      <w:pPr>
        <w:pStyle w:val="NormalWeb"/>
        <w:rPr>
          <w:rFonts w:ascii="Aptos" w:hAnsi="Aptos"/>
          <w:color w:val="111111"/>
          <w:sz w:val="21"/>
          <w:szCs w:val="21"/>
          <w:lang w:val="es-ES"/>
        </w:rPr>
      </w:pPr>
      <w:r>
        <w:rPr>
          <w:rFonts w:ascii="Aptos" w:hAnsi="Aptos"/>
          <w:color w:val="111111"/>
          <w:sz w:val="21"/>
          <w:szCs w:val="21"/>
          <w:lang w:val="es-ES"/>
        </w:rPr>
        <w:t xml:space="preserve">La alternativa Cloud usa GCP en la región Santiago, con Cloud Run, Cloud SQL for PostgreSQL, Cloud Storage, respaldo, monitoreo y secretos. No incluye Vertex AI, BigQuery, GKE, Dataflow, </w:t>
      </w:r>
      <w:r>
        <w:rPr>
          <w:rFonts w:ascii="Aptos" w:hAnsi="Aptos"/>
          <w:color w:val="111111"/>
          <w:sz w:val="21"/>
          <w:szCs w:val="21"/>
          <w:lang w:val="es-ES"/>
        </w:rPr>
        <w:lastRenderedPageBreak/>
        <w:t>Dataproc ni GPU dedicada: Lucas los dejó fuera del piloto porque el volumen y la frecuencia de reentrenamiento no los justifican.</w:t>
      </w:r>
    </w:p>
    <w:tbl>
      <w:tblPr>
        <w:tblW w:w="5000" w:type="pct"/>
        <w:tblCellMar>
          <w:top w:w="15" w:type="dxa"/>
          <w:left w:w="15" w:type="dxa"/>
          <w:bottom w:w="15" w:type="dxa"/>
          <w:right w:w="15" w:type="dxa"/>
        </w:tblCellMar>
        <w:tblLook w:val="04A0" w:firstRow="1" w:lastRow="0" w:firstColumn="1" w:lastColumn="0" w:noHBand="0" w:noVBand="1"/>
      </w:tblPr>
      <w:tblGrid>
        <w:gridCol w:w="1671"/>
        <w:gridCol w:w="1826"/>
        <w:gridCol w:w="1226"/>
        <w:gridCol w:w="2369"/>
        <w:gridCol w:w="1730"/>
      </w:tblGrid>
      <w:tr w:rsidR="00000000" w14:paraId="00BA7EFA" w14:textId="77777777">
        <w:trPr>
          <w:tblHeader w:val="true"/>
          <w:cantSplit/>
        </w:trPr>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0DD42A9F"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Partida</w:t>
            </w:r>
          </w:p>
        </w:tc>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1F73DDD8"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Base de cálculo</w:t>
            </w:r>
          </w:p>
        </w:tc>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3B127745"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36 meses CLP</w:t>
            </w:r>
          </w:p>
        </w:tc>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4E7656B3"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Tipo</w:t>
            </w:r>
          </w:p>
        </w:tc>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2CE8F98E"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Tratamiento</w:t>
            </w:r>
          </w:p>
        </w:tc>
      </w:tr>
      <w:tr w:rsidR="00000000" w14:paraId="18C86FC9"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0DA5EDC0"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Implementación GCP</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319EA9AE"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Configuración, despliegue y seguridad inicial</w:t>
            </w:r>
          </w:p>
        </w:tc>
        <w:tc>
          <w:tcPr>
            <w:tcW w:w="0" w:type="auto"/>
            <w:tcBorders>
              <w:top w:val="single" w:sz="6" w:space="0" w:color="D9D9D9"/>
              <w:left w:val="single" w:sz="6" w:space="0" w:color="D9D9D9"/>
              <w:bottom w:val="single" w:sz="6" w:space="0" w:color="D9D9D9"/>
              <w:right w:val="single" w:sz="6" w:space="0" w:color="D9D9D9"/>
            </w:tcBorders>
            <w:noWrap/>
            <w:tcMar>
              <w:top w:w="100" w:type="dxa"/>
              <w:left w:w="120" w:type="dxa"/>
              <w:bottom w:w="100" w:type="dxa"/>
              <w:right w:w="120" w:type="dxa"/>
            </w:tcMar>
            <w:vAlign w:val="center"/>
            <w:hideMark/>
          </w:tcPr>
          <w:p w14:paraId="2EE04FC4" w14:textId="77777777" w:rsidR="0095229B" w:rsidRDefault="0095229B">
            <w:pPr>
              <w:spacing w:before="160" w:after="240"/>
              <w:jc w:val="right"/>
              <w:rPr>
                <w:rFonts w:ascii="Aptos" w:eastAsia="Times New Roman" w:hAnsi="Aptos"/>
                <w:color w:val="111111"/>
                <w:sz w:val="18"/>
                <w:szCs w:val="18"/>
              </w:rPr>
            </w:pPr>
            <w:r>
              <w:rPr>
                <w:rFonts w:ascii="Aptos" w:eastAsia="Times New Roman" w:hAnsi="Aptos"/>
                <w:color w:val="111111"/>
                <w:sz w:val="18"/>
                <w:szCs w:val="18"/>
              </w:rPr>
              <w:t>$1.920.000</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6E60E256"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RRHH</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15D7F46B"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Incluido dentro del modelo RRHH.</w:t>
            </w:r>
          </w:p>
        </w:tc>
      </w:tr>
      <w:tr w:rsidR="00000000" w14:paraId="6A9C60C1"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5C752D5D"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Cloud SQL</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165A1D3B"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Instancia pequeña PostgreSQL, almacenamiento SSD y backups</w:t>
            </w:r>
          </w:p>
        </w:tc>
        <w:tc>
          <w:tcPr>
            <w:tcW w:w="0" w:type="auto"/>
            <w:tcBorders>
              <w:top w:val="single" w:sz="6" w:space="0" w:color="D9D9D9"/>
              <w:left w:val="single" w:sz="6" w:space="0" w:color="D9D9D9"/>
              <w:bottom w:val="single" w:sz="6" w:space="0" w:color="D9D9D9"/>
              <w:right w:val="single" w:sz="6" w:space="0" w:color="D9D9D9"/>
            </w:tcBorders>
            <w:noWrap/>
            <w:tcMar>
              <w:top w:w="100" w:type="dxa"/>
              <w:left w:w="120" w:type="dxa"/>
              <w:bottom w:w="100" w:type="dxa"/>
              <w:right w:w="120" w:type="dxa"/>
            </w:tcMar>
            <w:vAlign w:val="center"/>
            <w:hideMark/>
          </w:tcPr>
          <w:p w14:paraId="1A202F1C" w14:textId="77777777" w:rsidR="0095229B" w:rsidRDefault="0095229B">
            <w:pPr>
              <w:spacing w:before="160" w:after="240"/>
              <w:jc w:val="right"/>
              <w:rPr>
                <w:rFonts w:ascii="Aptos" w:eastAsia="Times New Roman" w:hAnsi="Aptos"/>
                <w:color w:val="111111"/>
                <w:sz w:val="18"/>
                <w:szCs w:val="18"/>
              </w:rPr>
            </w:pPr>
            <w:r>
              <w:rPr>
                <w:rFonts w:ascii="Aptos" w:eastAsia="Times New Roman" w:hAnsi="Aptos"/>
                <w:color w:val="111111"/>
                <w:sz w:val="18"/>
                <w:szCs w:val="18"/>
              </w:rPr>
              <w:t>$768.024</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5FBC145F"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OPEX</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4D665A20"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Estimación desde tarifario GCP convertido a CLP.</w:t>
            </w:r>
          </w:p>
        </w:tc>
      </w:tr>
      <w:tr w:rsidR="00000000" w14:paraId="7F085604"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0C38B1DF"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Cloud Run</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760C5EBF"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Servicio web con carga intermitente y escala a cero</w:t>
            </w:r>
          </w:p>
        </w:tc>
        <w:tc>
          <w:tcPr>
            <w:tcW w:w="0" w:type="auto"/>
            <w:tcBorders>
              <w:top w:val="single" w:sz="6" w:space="0" w:color="D9D9D9"/>
              <w:left w:val="single" w:sz="6" w:space="0" w:color="D9D9D9"/>
              <w:bottom w:val="single" w:sz="6" w:space="0" w:color="D9D9D9"/>
              <w:right w:val="single" w:sz="6" w:space="0" w:color="D9D9D9"/>
            </w:tcBorders>
            <w:noWrap/>
            <w:tcMar>
              <w:top w:w="100" w:type="dxa"/>
              <w:left w:w="120" w:type="dxa"/>
              <w:bottom w:w="100" w:type="dxa"/>
              <w:right w:w="120" w:type="dxa"/>
            </w:tcMar>
            <w:vAlign w:val="center"/>
            <w:hideMark/>
          </w:tcPr>
          <w:p w14:paraId="539BC211" w14:textId="77777777" w:rsidR="0095229B" w:rsidRDefault="0095229B">
            <w:pPr>
              <w:spacing w:before="160" w:after="240"/>
              <w:jc w:val="right"/>
              <w:rPr>
                <w:rFonts w:ascii="Aptos" w:eastAsia="Times New Roman" w:hAnsi="Aptos"/>
                <w:color w:val="111111"/>
                <w:sz w:val="18"/>
                <w:szCs w:val="18"/>
              </w:rPr>
            </w:pPr>
            <w:r>
              <w:rPr>
                <w:rFonts w:ascii="Aptos" w:eastAsia="Times New Roman" w:hAnsi="Aptos"/>
                <w:color w:val="111111"/>
                <w:sz w:val="18"/>
                <w:szCs w:val="18"/>
              </w:rPr>
              <w:t>$96.720</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1970E99C"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OPEX</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1BBEBA93"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Uso base conservador, sin cómputo 24/7.</w:t>
            </w:r>
          </w:p>
        </w:tc>
      </w:tr>
      <w:tr w:rsidR="00000000" w14:paraId="3DA0B590"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7DD8D5A1"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Storage y respaldo</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02887D33"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Datos, artefactos, backup y retención</w:t>
            </w:r>
          </w:p>
        </w:tc>
        <w:tc>
          <w:tcPr>
            <w:tcW w:w="0" w:type="auto"/>
            <w:tcBorders>
              <w:top w:val="single" w:sz="6" w:space="0" w:color="D9D9D9"/>
              <w:left w:val="single" w:sz="6" w:space="0" w:color="D9D9D9"/>
              <w:bottom w:val="single" w:sz="6" w:space="0" w:color="D9D9D9"/>
              <w:right w:val="single" w:sz="6" w:space="0" w:color="D9D9D9"/>
            </w:tcBorders>
            <w:noWrap/>
            <w:tcMar>
              <w:top w:w="100" w:type="dxa"/>
              <w:left w:w="120" w:type="dxa"/>
              <w:bottom w:w="100" w:type="dxa"/>
              <w:right w:w="120" w:type="dxa"/>
            </w:tcMar>
            <w:vAlign w:val="center"/>
            <w:hideMark/>
          </w:tcPr>
          <w:p w14:paraId="4937BCCF" w14:textId="77777777" w:rsidR="0095229B" w:rsidRDefault="0095229B">
            <w:pPr>
              <w:spacing w:before="160" w:after="240"/>
              <w:jc w:val="right"/>
              <w:rPr>
                <w:rFonts w:ascii="Aptos" w:eastAsia="Times New Roman" w:hAnsi="Aptos"/>
                <w:color w:val="111111"/>
                <w:sz w:val="18"/>
                <w:szCs w:val="18"/>
              </w:rPr>
            </w:pPr>
            <w:r>
              <w:rPr>
                <w:rFonts w:ascii="Aptos" w:eastAsia="Times New Roman" w:hAnsi="Aptos"/>
                <w:color w:val="111111"/>
                <w:sz w:val="18"/>
                <w:szCs w:val="18"/>
              </w:rPr>
              <w:t>$111.600</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7A531C47"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OPEX</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6170C0C8"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Volumen pequeño, crecimiento anual considerado.</w:t>
            </w:r>
          </w:p>
        </w:tc>
      </w:tr>
      <w:tr w:rsidR="00000000" w14:paraId="7972CEEE"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59622748"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Logging, monitoring, secretos y red</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2589EA6C"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Provisión por consumo y egreso reducido</w:t>
            </w:r>
          </w:p>
        </w:tc>
        <w:tc>
          <w:tcPr>
            <w:tcW w:w="0" w:type="auto"/>
            <w:tcBorders>
              <w:top w:val="single" w:sz="6" w:space="0" w:color="D9D9D9"/>
              <w:left w:val="single" w:sz="6" w:space="0" w:color="D9D9D9"/>
              <w:bottom w:val="single" w:sz="6" w:space="0" w:color="D9D9D9"/>
              <w:right w:val="single" w:sz="6" w:space="0" w:color="D9D9D9"/>
            </w:tcBorders>
            <w:noWrap/>
            <w:tcMar>
              <w:top w:w="100" w:type="dxa"/>
              <w:left w:w="120" w:type="dxa"/>
              <w:bottom w:w="100" w:type="dxa"/>
              <w:right w:w="120" w:type="dxa"/>
            </w:tcMar>
            <w:vAlign w:val="center"/>
            <w:hideMark/>
          </w:tcPr>
          <w:p w14:paraId="36F2EEFA" w14:textId="77777777" w:rsidR="0095229B" w:rsidRDefault="0095229B">
            <w:pPr>
              <w:spacing w:before="160" w:after="240"/>
              <w:jc w:val="right"/>
              <w:rPr>
                <w:rFonts w:ascii="Aptos" w:eastAsia="Times New Roman" w:hAnsi="Aptos"/>
                <w:color w:val="111111"/>
                <w:sz w:val="18"/>
                <w:szCs w:val="18"/>
              </w:rPr>
            </w:pPr>
            <w:r>
              <w:rPr>
                <w:rFonts w:ascii="Aptos" w:eastAsia="Times New Roman" w:hAnsi="Aptos"/>
                <w:color w:val="111111"/>
                <w:sz w:val="18"/>
                <w:szCs w:val="18"/>
              </w:rPr>
              <w:t>$279.000</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20C6BA13"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OPEX</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02DD28CC"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Supuesto de planificación; debe revisarse frente al uso real.</w:t>
            </w:r>
          </w:p>
        </w:tc>
      </w:tr>
      <w:tr w:rsidR="00000000" w14:paraId="46F99C53"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447982D7"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Cómputo temporal de reentrenamiento</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049D3EC3"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6 ventanas planificadas, CPU estándar</w:t>
            </w:r>
          </w:p>
        </w:tc>
        <w:tc>
          <w:tcPr>
            <w:tcW w:w="0" w:type="auto"/>
            <w:tcBorders>
              <w:top w:val="single" w:sz="6" w:space="0" w:color="D9D9D9"/>
              <w:left w:val="single" w:sz="6" w:space="0" w:color="D9D9D9"/>
              <w:bottom w:val="single" w:sz="6" w:space="0" w:color="D9D9D9"/>
              <w:right w:val="single" w:sz="6" w:space="0" w:color="D9D9D9"/>
            </w:tcBorders>
            <w:noWrap/>
            <w:tcMar>
              <w:top w:w="100" w:type="dxa"/>
              <w:left w:w="120" w:type="dxa"/>
              <w:bottom w:w="100" w:type="dxa"/>
              <w:right w:w="120" w:type="dxa"/>
            </w:tcMar>
            <w:vAlign w:val="center"/>
            <w:hideMark/>
          </w:tcPr>
          <w:p w14:paraId="1F7D6B59" w14:textId="77777777" w:rsidR="0095229B" w:rsidRDefault="0095229B">
            <w:pPr>
              <w:spacing w:before="160" w:after="240"/>
              <w:jc w:val="right"/>
              <w:rPr>
                <w:rFonts w:ascii="Aptos" w:eastAsia="Times New Roman" w:hAnsi="Aptos"/>
                <w:color w:val="111111"/>
                <w:sz w:val="18"/>
                <w:szCs w:val="18"/>
              </w:rPr>
            </w:pPr>
            <w:r>
              <w:rPr>
                <w:rFonts w:ascii="Aptos" w:eastAsia="Times New Roman" w:hAnsi="Aptos"/>
                <w:color w:val="111111"/>
                <w:sz w:val="18"/>
                <w:szCs w:val="18"/>
              </w:rPr>
              <w:t>$55.800</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298C0B20"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OPEX</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7C93A3A3"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Separado de RRHH; no hay GPU ni Vertex AI.</w:t>
            </w:r>
          </w:p>
        </w:tc>
      </w:tr>
      <w:tr w:rsidR="00000000" w14:paraId="019FD954"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70EEFC95"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IVA GCP</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1B5CD791"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19% × base neta GCP de $1.311.144</w:t>
            </w:r>
          </w:p>
        </w:tc>
        <w:tc>
          <w:tcPr>
            <w:tcW w:w="0" w:type="auto"/>
            <w:tcBorders>
              <w:top w:val="single" w:sz="6" w:space="0" w:color="D9D9D9"/>
              <w:left w:val="single" w:sz="6" w:space="0" w:color="D9D9D9"/>
              <w:bottom w:val="single" w:sz="6" w:space="0" w:color="D9D9D9"/>
              <w:right w:val="single" w:sz="6" w:space="0" w:color="D9D9D9"/>
            </w:tcBorders>
            <w:noWrap/>
            <w:tcMar>
              <w:top w:w="100" w:type="dxa"/>
              <w:left w:w="120" w:type="dxa"/>
              <w:bottom w:w="100" w:type="dxa"/>
              <w:right w:w="120" w:type="dxa"/>
            </w:tcMar>
            <w:vAlign w:val="center"/>
            <w:hideMark/>
          </w:tcPr>
          <w:p w14:paraId="53C69DD5" w14:textId="77777777" w:rsidR="0095229B" w:rsidRDefault="0095229B">
            <w:pPr>
              <w:spacing w:before="160" w:after="240"/>
              <w:jc w:val="right"/>
              <w:rPr>
                <w:rFonts w:ascii="Aptos" w:eastAsia="Times New Roman" w:hAnsi="Aptos"/>
                <w:color w:val="111111"/>
                <w:sz w:val="18"/>
                <w:szCs w:val="18"/>
              </w:rPr>
            </w:pPr>
            <w:r>
              <w:rPr>
                <w:rFonts w:ascii="Aptos" w:eastAsia="Times New Roman" w:hAnsi="Aptos"/>
                <w:color w:val="111111"/>
                <w:sz w:val="18"/>
                <w:szCs w:val="18"/>
              </w:rPr>
              <w:t>$249.117</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05A1CB26"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Impuesto</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2AFB3152"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IVA calculado sobre servicios GCP; $249.117,36 redondeado al peso.</w:t>
            </w:r>
          </w:p>
        </w:tc>
      </w:tr>
      <w:tr w:rsidR="00000000" w14:paraId="0D4C2729"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6C612A61"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RRHH</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66A3B449"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Modelo común más 120 h Cloud/DevOps</w:t>
            </w:r>
          </w:p>
        </w:tc>
        <w:tc>
          <w:tcPr>
            <w:tcW w:w="0" w:type="auto"/>
            <w:tcBorders>
              <w:top w:val="single" w:sz="6" w:space="0" w:color="D9D9D9"/>
              <w:left w:val="single" w:sz="6" w:space="0" w:color="D9D9D9"/>
              <w:bottom w:val="single" w:sz="6" w:space="0" w:color="D9D9D9"/>
              <w:right w:val="single" w:sz="6" w:space="0" w:color="D9D9D9"/>
            </w:tcBorders>
            <w:noWrap/>
            <w:tcMar>
              <w:top w:w="100" w:type="dxa"/>
              <w:left w:w="120" w:type="dxa"/>
              <w:bottom w:w="100" w:type="dxa"/>
              <w:right w:w="120" w:type="dxa"/>
            </w:tcMar>
            <w:vAlign w:val="center"/>
            <w:hideMark/>
          </w:tcPr>
          <w:p w14:paraId="31485339" w14:textId="77777777" w:rsidR="0095229B" w:rsidRDefault="0095229B">
            <w:pPr>
              <w:spacing w:before="160" w:after="240"/>
              <w:jc w:val="right"/>
              <w:rPr>
                <w:rFonts w:ascii="Aptos" w:eastAsia="Times New Roman" w:hAnsi="Aptos"/>
                <w:color w:val="111111"/>
                <w:sz w:val="18"/>
                <w:szCs w:val="18"/>
              </w:rPr>
            </w:pPr>
            <w:r>
              <w:rPr>
                <w:rFonts w:ascii="Aptos" w:eastAsia="Times New Roman" w:hAnsi="Aptos"/>
                <w:color w:val="111111"/>
                <w:sz w:val="18"/>
                <w:szCs w:val="18"/>
              </w:rPr>
              <w:t>$8.272.000</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3EAD9177"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Implementación/operación</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23B26151"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Incluye seguridad, mantenimiento y validación.</w:t>
            </w:r>
          </w:p>
        </w:tc>
      </w:tr>
      <w:tr w:rsidR="00000000" w14:paraId="574AB51F" w14:textId="77777777">
        <w:trPr>
          <w:cantSplit/>
        </w:trPr>
        <w:tc>
          <w:tcPr>
            <w:tcW w:w="0" w:type="auto"/>
            <w:gridSpan w:val="2"/>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hideMark/>
          </w:tcPr>
          <w:p w14:paraId="3D87155B" w14:textId="77777777" w:rsidR="0095229B" w:rsidRDefault="0095229B">
            <w:pPr>
              <w:spacing w:before="160" w:after="240"/>
              <w:rPr>
                <w:rFonts w:ascii="Aptos" w:eastAsia="Times New Roman" w:hAnsi="Aptos"/>
                <w:b/>
                <w:bCs/>
                <w:color w:val="111111"/>
                <w:sz w:val="18"/>
                <w:szCs w:val="18"/>
              </w:rPr>
            </w:pPr>
            <w:r>
              <w:rPr>
                <w:rFonts w:ascii="Aptos" w:eastAsia="Times New Roman" w:hAnsi="Aptos"/>
                <w:b/>
                <w:bCs/>
                <w:color w:val="111111"/>
                <w:sz w:val="18"/>
                <w:szCs w:val="18"/>
              </w:rPr>
              <w:lastRenderedPageBreak/>
              <w:t>Subtotal Cloud</w:t>
            </w:r>
          </w:p>
        </w:tc>
        <w:tc>
          <w:tcPr>
            <w:tcW w:w="0" w:type="auto"/>
            <w:tcBorders>
              <w:top w:val="single" w:sz="6" w:space="0" w:color="D9D9D9"/>
              <w:left w:val="single" w:sz="6" w:space="0" w:color="D9D9D9"/>
              <w:bottom w:val="single" w:sz="6" w:space="0" w:color="D9D9D9"/>
              <w:right w:val="single" w:sz="6" w:space="0" w:color="D9D9D9"/>
            </w:tcBorders>
            <w:shd w:val="clear" w:color="auto" w:fill="D9EAF7"/>
            <w:noWrap/>
            <w:tcMar>
              <w:top w:w="100" w:type="dxa"/>
              <w:left w:w="120" w:type="dxa"/>
              <w:bottom w:w="100" w:type="dxa"/>
              <w:right w:w="120" w:type="dxa"/>
            </w:tcMar>
            <w:vAlign w:val="center"/>
            <w:hideMark/>
          </w:tcPr>
          <w:p w14:paraId="024B0626" w14:textId="77777777" w:rsidR="0095229B" w:rsidRDefault="0095229B">
            <w:pPr>
              <w:spacing w:before="160" w:after="240"/>
              <w:jc w:val="right"/>
              <w:rPr>
                <w:rFonts w:ascii="Aptos" w:eastAsia="Times New Roman" w:hAnsi="Aptos"/>
                <w:b/>
                <w:bCs/>
                <w:color w:val="111111"/>
                <w:sz w:val="18"/>
                <w:szCs w:val="18"/>
              </w:rPr>
            </w:pPr>
            <w:r>
              <w:rPr>
                <w:rFonts w:ascii="Aptos" w:eastAsia="Times New Roman" w:hAnsi="Aptos"/>
                <w:b/>
                <w:bCs/>
                <w:color w:val="111111"/>
                <w:sz w:val="18"/>
                <w:szCs w:val="18"/>
              </w:rPr>
              <w:t>$9.832.261</w:t>
            </w:r>
          </w:p>
        </w:tc>
        <w:tc>
          <w:tcPr>
            <w:tcW w:w="0" w:type="auto"/>
            <w:gridSpan w:val="2"/>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hideMark/>
          </w:tcPr>
          <w:p w14:paraId="13379B3A" w14:textId="77777777" w:rsidR="0095229B" w:rsidRDefault="0095229B">
            <w:pPr>
              <w:spacing w:before="160" w:after="240"/>
              <w:jc w:val="right"/>
              <w:rPr>
                <w:rFonts w:ascii="Aptos" w:eastAsia="Times New Roman" w:hAnsi="Aptos"/>
                <w:b/>
                <w:bCs/>
                <w:color w:val="111111"/>
                <w:sz w:val="18"/>
                <w:szCs w:val="18"/>
              </w:rPr>
            </w:pPr>
          </w:p>
        </w:tc>
      </w:tr>
      <w:tr w:rsidR="00000000" w14:paraId="49C410FE" w14:textId="77777777">
        <w:trPr>
          <w:cantSplit/>
        </w:trPr>
        <w:tc>
          <w:tcPr>
            <w:tcW w:w="0" w:type="auto"/>
            <w:gridSpan w:val="2"/>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hideMark/>
          </w:tcPr>
          <w:p w14:paraId="681347D1" w14:textId="77777777" w:rsidR="0095229B" w:rsidRDefault="0095229B">
            <w:pPr>
              <w:spacing w:before="160" w:after="240"/>
              <w:rPr>
                <w:rFonts w:ascii="Aptos" w:eastAsia="Times New Roman" w:hAnsi="Aptos"/>
                <w:b/>
                <w:bCs/>
                <w:color w:val="111111"/>
                <w:sz w:val="18"/>
                <w:szCs w:val="18"/>
              </w:rPr>
            </w:pPr>
            <w:r>
              <w:rPr>
                <w:rFonts w:ascii="Aptos" w:eastAsia="Times New Roman" w:hAnsi="Aptos"/>
                <w:b/>
                <w:bCs/>
                <w:color w:val="111111"/>
                <w:sz w:val="18"/>
                <w:szCs w:val="18"/>
              </w:rPr>
              <w:t>10% × $9.832.261</w:t>
            </w:r>
          </w:p>
        </w:tc>
        <w:tc>
          <w:tcPr>
            <w:tcW w:w="0" w:type="auto"/>
            <w:tcBorders>
              <w:top w:val="single" w:sz="6" w:space="0" w:color="D9D9D9"/>
              <w:left w:val="single" w:sz="6" w:space="0" w:color="D9D9D9"/>
              <w:bottom w:val="single" w:sz="6" w:space="0" w:color="D9D9D9"/>
              <w:right w:val="single" w:sz="6" w:space="0" w:color="D9D9D9"/>
            </w:tcBorders>
            <w:shd w:val="clear" w:color="auto" w:fill="D9EAF7"/>
            <w:noWrap/>
            <w:tcMar>
              <w:top w:w="100" w:type="dxa"/>
              <w:left w:w="120" w:type="dxa"/>
              <w:bottom w:w="100" w:type="dxa"/>
              <w:right w:w="120" w:type="dxa"/>
            </w:tcMar>
            <w:vAlign w:val="center"/>
            <w:hideMark/>
          </w:tcPr>
          <w:p w14:paraId="46B709CC" w14:textId="77777777" w:rsidR="0095229B" w:rsidRDefault="0095229B">
            <w:pPr>
              <w:spacing w:before="160" w:after="240"/>
              <w:jc w:val="right"/>
              <w:rPr>
                <w:rFonts w:ascii="Aptos" w:eastAsia="Times New Roman" w:hAnsi="Aptos"/>
                <w:b/>
                <w:bCs/>
                <w:color w:val="111111"/>
                <w:sz w:val="18"/>
                <w:szCs w:val="18"/>
              </w:rPr>
            </w:pPr>
            <w:r>
              <w:rPr>
                <w:rFonts w:ascii="Aptos" w:eastAsia="Times New Roman" w:hAnsi="Aptos"/>
                <w:b/>
                <w:bCs/>
                <w:color w:val="111111"/>
                <w:sz w:val="18"/>
                <w:szCs w:val="18"/>
              </w:rPr>
              <w:t>$983.226</w:t>
            </w:r>
          </w:p>
        </w:tc>
        <w:tc>
          <w:tcPr>
            <w:tcW w:w="0" w:type="auto"/>
            <w:gridSpan w:val="2"/>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hideMark/>
          </w:tcPr>
          <w:p w14:paraId="76FFAE06" w14:textId="77777777" w:rsidR="0095229B" w:rsidRDefault="0095229B">
            <w:pPr>
              <w:spacing w:before="160" w:after="240"/>
              <w:jc w:val="right"/>
              <w:rPr>
                <w:rFonts w:ascii="Aptos" w:eastAsia="Times New Roman" w:hAnsi="Aptos"/>
                <w:b/>
                <w:bCs/>
                <w:color w:val="111111"/>
                <w:sz w:val="18"/>
                <w:szCs w:val="18"/>
              </w:rPr>
            </w:pPr>
          </w:p>
        </w:tc>
      </w:tr>
      <w:tr w:rsidR="00000000" w14:paraId="41E76FD3" w14:textId="77777777">
        <w:trPr>
          <w:cantSplit/>
        </w:trPr>
        <w:tc>
          <w:tcPr>
            <w:tcW w:w="0" w:type="auto"/>
            <w:gridSpan w:val="2"/>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hideMark/>
          </w:tcPr>
          <w:p w14:paraId="01CCC103" w14:textId="77777777" w:rsidR="0095229B" w:rsidRDefault="0095229B">
            <w:pPr>
              <w:spacing w:before="160" w:after="240"/>
              <w:rPr>
                <w:rFonts w:ascii="Aptos" w:eastAsia="Times New Roman" w:hAnsi="Aptos"/>
                <w:b/>
                <w:bCs/>
                <w:color w:val="111111"/>
                <w:sz w:val="18"/>
                <w:szCs w:val="18"/>
              </w:rPr>
            </w:pPr>
            <w:r>
              <w:rPr>
                <w:rFonts w:ascii="Aptos" w:eastAsia="Times New Roman" w:hAnsi="Aptos"/>
                <w:b/>
                <w:bCs/>
                <w:color w:val="111111"/>
                <w:sz w:val="18"/>
                <w:szCs w:val="18"/>
              </w:rPr>
              <w:t>TCO Cloud 36 meses</w:t>
            </w:r>
          </w:p>
        </w:tc>
        <w:tc>
          <w:tcPr>
            <w:tcW w:w="0" w:type="auto"/>
            <w:tcBorders>
              <w:top w:val="single" w:sz="6" w:space="0" w:color="D9D9D9"/>
              <w:left w:val="single" w:sz="6" w:space="0" w:color="D9D9D9"/>
              <w:bottom w:val="single" w:sz="6" w:space="0" w:color="D9D9D9"/>
              <w:right w:val="single" w:sz="6" w:space="0" w:color="D9D9D9"/>
            </w:tcBorders>
            <w:shd w:val="clear" w:color="auto" w:fill="D9EAF7"/>
            <w:noWrap/>
            <w:tcMar>
              <w:top w:w="100" w:type="dxa"/>
              <w:left w:w="120" w:type="dxa"/>
              <w:bottom w:w="100" w:type="dxa"/>
              <w:right w:w="120" w:type="dxa"/>
            </w:tcMar>
            <w:vAlign w:val="center"/>
            <w:hideMark/>
          </w:tcPr>
          <w:p w14:paraId="27153050" w14:textId="77777777" w:rsidR="0095229B" w:rsidRDefault="0095229B">
            <w:pPr>
              <w:spacing w:before="160" w:after="240"/>
              <w:jc w:val="right"/>
              <w:rPr>
                <w:rFonts w:ascii="Aptos" w:eastAsia="Times New Roman" w:hAnsi="Aptos"/>
                <w:b/>
                <w:bCs/>
                <w:color w:val="111111"/>
                <w:sz w:val="18"/>
                <w:szCs w:val="18"/>
              </w:rPr>
            </w:pPr>
            <w:r>
              <w:rPr>
                <w:rFonts w:ascii="Aptos" w:eastAsia="Times New Roman" w:hAnsi="Aptos"/>
                <w:b/>
                <w:bCs/>
                <w:color w:val="111111"/>
                <w:sz w:val="18"/>
                <w:szCs w:val="18"/>
              </w:rPr>
              <w:t>$10.815.487</w:t>
            </w:r>
          </w:p>
        </w:tc>
        <w:tc>
          <w:tcPr>
            <w:tcW w:w="0" w:type="auto"/>
            <w:gridSpan w:val="2"/>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hideMark/>
          </w:tcPr>
          <w:p w14:paraId="72EB2495" w14:textId="77777777" w:rsidR="0095229B" w:rsidRDefault="0095229B">
            <w:pPr>
              <w:spacing w:before="160" w:after="240"/>
              <w:jc w:val="right"/>
              <w:rPr>
                <w:rFonts w:ascii="Aptos" w:eastAsia="Times New Roman" w:hAnsi="Aptos"/>
                <w:b/>
                <w:bCs/>
                <w:color w:val="111111"/>
                <w:sz w:val="18"/>
                <w:szCs w:val="18"/>
              </w:rPr>
            </w:pPr>
          </w:p>
        </w:tc>
      </w:tr>
    </w:tbl>
    <w:p>
      <w:pPr>
        <w:pStyle w:val="Ttulo2"/>
      </w:pPr>
      <w:r>
        <w:t>Detalle reproducible de partidas GCP</w:t>
      </w:r>
    </w:p>
    <w:tbl>
      <w:tblPr>
        <w:tblW w:type="auto" w:w="0"/>
        <w:tblLayout w:type="autofit"/>
        <w:tblLook w:firstColumn="1" w:firstRow="1" w:lastColumn="0" w:lastRow="0" w:noHBand="0" w:noVBand="1" w:val="04A0"/>
      </w:tblPr>
      <w:tblGrid>
        <w:gridCol w:w="1473"/>
        <w:gridCol w:w="1473"/>
        <w:gridCol w:w="1473"/>
        <w:gridCol w:w="1473"/>
        <w:gridCol w:w="1473"/>
        <w:gridCol w:w="1473"/>
      </w:tblGrid>
      <w:tr>
        <w:trPr>
          <w:tblHeader w:val="true"/>
          <w:cantSplit/>
          <w:tblHeader w:val="true"/>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before="0" w:after="0" w:line="240" w:lineRule="auto"/>
            </w:pPr>
            <w:r>
              <w:rPr>
                <w:b/>
                <w:color w:val="FFFFFF"/>
                <w:sz w:val="15"/>
              </w:rPr>
              <w:t>Alternativa y servicio</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before="0" w:after="0" w:line="240" w:lineRule="auto"/>
            </w:pPr>
            <w:r>
              <w:rPr>
                <w:b/>
                <w:color w:val="FFFFFF"/>
                <w:sz w:val="15"/>
              </w:rPr>
              <w:t>Supuesto de consumo presupuestario</w:t>
            </w:r>
          </w:p>
        </w:tc>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before="0" w:after="0" w:line="240" w:lineRule="auto"/>
              <w:jc w:val="center"/>
            </w:pPr>
            <w:r>
              <w:rPr>
                <w:b/>
                <w:color w:val="FFFFFF"/>
                <w:sz w:val="15"/>
              </w:rPr>
              <w:t>USD mes</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before="0" w:after="0" w:line="240" w:lineRule="auto"/>
              <w:jc w:val="center"/>
            </w:pPr>
            <w:r>
              <w:rPr>
                <w:b/>
                <w:color w:val="FFFFFF"/>
                <w:sz w:val="15"/>
              </w:rPr>
              <w:t>Meses</w:t>
            </w:r>
          </w:p>
        </w:tc>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before="0" w:after="0" w:line="240" w:lineRule="auto"/>
              <w:jc w:val="center"/>
            </w:pPr>
            <w:r>
              <w:rPr>
                <w:b/>
                <w:color w:val="FFFFFF"/>
                <w:sz w:val="15"/>
              </w:rPr>
              <w:t>TC CLP USD</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before="0" w:after="0" w:line="240" w:lineRule="auto"/>
              <w:jc w:val="center"/>
            </w:pPr>
            <w:r>
              <w:rPr>
                <w:b/>
                <w:color w:val="FFFFFF"/>
                <w:sz w:val="15"/>
              </w:rPr>
              <w:t>Total CLP</w:t>
            </w:r>
          </w:p>
        </w:tc>
      </w:tr>
      <w:tr>
        <w:trPr>
          <w:cantSplit/>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before="0" w:after="0" w:line="240" w:lineRule="auto"/>
            </w:pPr>
            <w:r>
              <w:rPr>
                <w:sz w:val="15"/>
              </w:rPr>
              <w:t>Cloud SQL</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before="0" w:after="0" w:line="240" w:lineRule="auto"/>
            </w:pPr>
            <w:r>
              <w:rPr>
                <w:sz w:val="15"/>
              </w:rPr>
              <w:t>Instancia PostgreSQL pequeña, SSD y backups; bolsa equivalente derivada del total fuente</w:t>
            </w:r>
          </w:p>
        </w:tc>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before="0" w:after="0" w:line="240" w:lineRule="auto"/>
              <w:jc w:val="center"/>
            </w:pPr>
            <w:r>
              <w:rPr>
                <w:sz w:val="15"/>
              </w:rPr>
              <w:t>22,9398</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before="0" w:after="0" w:line="240" w:lineRule="auto"/>
              <w:jc w:val="center"/>
            </w:pPr>
            <w:r>
              <w:rPr>
                <w:sz w:val="15"/>
              </w:rPr>
              <w:t>36</w:t>
            </w:r>
          </w:p>
        </w:tc>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before="0" w:after="0" w:line="240" w:lineRule="auto"/>
              <w:jc w:val="center"/>
            </w:pPr>
            <w:r>
              <w:rPr>
                <w:sz w:val="15"/>
              </w:rPr>
              <w:t>930</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before="0" w:after="0" w:line="240" w:lineRule="auto"/>
              <w:jc w:val="center"/>
            </w:pPr>
            <w:r>
              <w:rPr>
                <w:sz w:val="15"/>
              </w:rPr>
              <w:t>$768.024</w:t>
            </w:r>
          </w:p>
        </w:tc>
      </w:tr>
      <w:tr>
        <w:trPr>
          <w:cantSplit/>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before="0" w:after="0" w:line="240" w:lineRule="auto"/>
            </w:pPr>
            <w:r>
              <w:rPr>
                <w:sz w:val="15"/>
              </w:rPr>
              <w:t>Cloud Run</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before="0" w:after="0" w:line="240" w:lineRule="auto"/>
            </w:pPr>
            <w:r>
              <w:rPr>
                <w:sz w:val="15"/>
              </w:rPr>
              <w:t>Carga intermitente y escala a cero; bolsa equivalente</w:t>
            </w:r>
          </w:p>
        </w:tc>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before="0" w:after="0" w:line="240" w:lineRule="auto"/>
              <w:jc w:val="center"/>
            </w:pPr>
            <w:r>
              <w:rPr>
                <w:sz w:val="15"/>
              </w:rPr>
              <w:t>2,8889</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before="0" w:after="0" w:line="240" w:lineRule="auto"/>
              <w:jc w:val="center"/>
            </w:pPr>
            <w:r>
              <w:rPr>
                <w:sz w:val="15"/>
              </w:rPr>
              <w:t>36</w:t>
            </w:r>
          </w:p>
        </w:tc>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before="0" w:after="0" w:line="240" w:lineRule="auto"/>
              <w:jc w:val="center"/>
            </w:pPr>
            <w:r>
              <w:rPr>
                <w:sz w:val="15"/>
              </w:rPr>
              <w:t>930</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before="0" w:after="0" w:line="240" w:lineRule="auto"/>
              <w:jc w:val="center"/>
            </w:pPr>
            <w:r>
              <w:rPr>
                <w:sz w:val="15"/>
              </w:rPr>
              <w:t>$96.720</w:t>
            </w:r>
          </w:p>
        </w:tc>
      </w:tr>
      <w:tr>
        <w:trPr>
          <w:cantSplit/>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before="0" w:after="0" w:line="240" w:lineRule="auto"/>
            </w:pPr>
            <w:r>
              <w:rPr>
                <w:sz w:val="15"/>
              </w:rPr>
              <w:t>Cloud Storage y respaldo</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before="0" w:after="0" w:line="240" w:lineRule="auto"/>
            </w:pPr>
            <w:r>
              <w:rPr>
                <w:sz w:val="15"/>
              </w:rPr>
              <w:t>Datos y artefactos de bajo volumen con retención; bolsa equivalente</w:t>
            </w:r>
          </w:p>
        </w:tc>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before="0" w:after="0" w:line="240" w:lineRule="auto"/>
              <w:jc w:val="center"/>
            </w:pPr>
            <w:r>
              <w:rPr>
                <w:sz w:val="15"/>
              </w:rPr>
              <w:t>3,3333</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before="0" w:after="0" w:line="240" w:lineRule="auto"/>
              <w:jc w:val="center"/>
            </w:pPr>
            <w:r>
              <w:rPr>
                <w:sz w:val="15"/>
              </w:rPr>
              <w:t>36</w:t>
            </w:r>
          </w:p>
        </w:tc>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before="0" w:after="0" w:line="240" w:lineRule="auto"/>
              <w:jc w:val="center"/>
            </w:pPr>
            <w:r>
              <w:rPr>
                <w:sz w:val="15"/>
              </w:rPr>
              <w:t>930</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before="0" w:after="0" w:line="240" w:lineRule="auto"/>
              <w:jc w:val="center"/>
            </w:pPr>
            <w:r>
              <w:rPr>
                <w:sz w:val="15"/>
              </w:rPr>
              <w:t>$111.600</w:t>
            </w:r>
          </w:p>
        </w:tc>
      </w:tr>
      <w:tr>
        <w:trPr>
          <w:cantSplit/>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before="0" w:after="0" w:line="240" w:lineRule="auto"/>
            </w:pPr>
            <w:r>
              <w:rPr>
                <w:sz w:val="15"/>
              </w:rPr>
              <w:t>Observabilidad, secretos y red</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before="0" w:after="0" w:line="240" w:lineRule="auto"/>
            </w:pPr>
            <w:r>
              <w:rPr>
                <w:sz w:val="15"/>
              </w:rPr>
              <w:t>Logs y egreso reducido; bolsa equivalente</w:t>
            </w:r>
          </w:p>
        </w:tc>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before="0" w:after="0" w:line="240" w:lineRule="auto"/>
              <w:jc w:val="center"/>
            </w:pPr>
            <w:r>
              <w:rPr>
                <w:sz w:val="15"/>
              </w:rPr>
              <w:t>8,3333</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before="0" w:after="0" w:line="240" w:lineRule="auto"/>
              <w:jc w:val="center"/>
            </w:pPr>
            <w:r>
              <w:rPr>
                <w:sz w:val="15"/>
              </w:rPr>
              <w:t>36</w:t>
            </w:r>
          </w:p>
        </w:tc>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before="0" w:after="0" w:line="240" w:lineRule="auto"/>
              <w:jc w:val="center"/>
            </w:pPr>
            <w:r>
              <w:rPr>
                <w:sz w:val="15"/>
              </w:rPr>
              <w:t>930</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before="0" w:after="0" w:line="240" w:lineRule="auto"/>
              <w:jc w:val="center"/>
            </w:pPr>
            <w:r>
              <w:rPr>
                <w:sz w:val="15"/>
              </w:rPr>
              <w:t>$279.000</w:t>
            </w:r>
          </w:p>
        </w:tc>
      </w:tr>
      <w:tr>
        <w:trPr>
          <w:cantSplit/>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before="0" w:after="0" w:line="240" w:lineRule="auto"/>
            </w:pPr>
            <w:r>
              <w:rPr>
                <w:sz w:val="15"/>
              </w:rPr>
              <w:t>Cómputo temporal</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before="0" w:after="0" w:line="240" w:lineRule="auto"/>
            </w:pPr>
            <w:r>
              <w:rPr>
                <w:sz w:val="15"/>
              </w:rPr>
              <w:t>Seis ventanas a USD 10 cada una; equivalente mensual</w:t>
            </w:r>
          </w:p>
        </w:tc>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before="0" w:after="0" w:line="240" w:lineRule="auto"/>
              <w:jc w:val="center"/>
            </w:pPr>
            <w:r>
              <w:rPr>
                <w:sz w:val="15"/>
              </w:rPr>
              <w:t>1,6667</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before="0" w:after="0" w:line="240" w:lineRule="auto"/>
              <w:jc w:val="center"/>
            </w:pPr>
            <w:r>
              <w:rPr>
                <w:sz w:val="15"/>
              </w:rPr>
              <w:t>36</w:t>
            </w:r>
          </w:p>
        </w:tc>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before="0" w:after="0" w:line="240" w:lineRule="auto"/>
              <w:jc w:val="center"/>
            </w:pPr>
            <w:r>
              <w:rPr>
                <w:sz w:val="15"/>
              </w:rPr>
              <w:t>930</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before="0" w:after="0" w:line="240" w:lineRule="auto"/>
              <w:jc w:val="center"/>
            </w:pPr>
            <w:r>
              <w:rPr>
                <w:sz w:val="15"/>
              </w:rPr>
              <w:t>$55.800</w:t>
            </w:r>
          </w:p>
        </w:tc>
      </w:tr>
      <w:tr>
        <w:trPr>
          <w:cantSplit/>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before="0" w:after="0" w:line="240" w:lineRule="auto"/>
            </w:pPr>
            <w:r>
              <w:rPr>
                <w:sz w:val="15"/>
              </w:rPr>
              <w:t>Cloud neto</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before="0" w:after="0" w:line="240" w:lineRule="auto"/>
            </w:pPr>
            <w:r>
              <w:rPr>
                <w:sz w:val="15"/>
              </w:rPr>
              <w:t>Suma de las cinco partidas</w:t>
            </w:r>
          </w:p>
        </w:tc>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before="0" w:after="0" w:line="240" w:lineRule="auto"/>
              <w:jc w:val="center"/>
            </w:pPr>
            <w:r>
              <w:rPr>
                <w:sz w:val="15"/>
              </w:rPr>
              <w:t>39,1613</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before="0" w:after="0" w:line="240" w:lineRule="auto"/>
              <w:jc w:val="center"/>
            </w:pPr>
            <w:r>
              <w:rPr>
                <w:sz w:val="15"/>
              </w:rPr>
              <w:t>36</w:t>
            </w:r>
          </w:p>
        </w:tc>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before="0" w:after="0" w:line="240" w:lineRule="auto"/>
              <w:jc w:val="center"/>
            </w:pPr>
            <w:r>
              <w:rPr>
                <w:sz w:val="15"/>
              </w:rPr>
              <w:t>930</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before="0" w:after="0" w:line="240" w:lineRule="auto"/>
              <w:jc w:val="center"/>
            </w:pPr>
            <w:r>
              <w:rPr>
                <w:sz w:val="15"/>
              </w:rPr>
              <w:t>$1.311.144</w:t>
            </w:r>
          </w:p>
        </w:tc>
      </w:tr>
      <w:tr>
        <w:trPr>
          <w:cantSplit/>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before="0" w:after="0" w:line="240" w:lineRule="auto"/>
            </w:pPr>
            <w:r>
              <w:rPr>
                <w:sz w:val="15"/>
              </w:rPr>
              <w:t>Híbrida servicios GCP</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before="0" w:after="0" w:line="240" w:lineRule="auto"/>
            </w:pPr>
            <w:r>
              <w:rPr>
                <w:sz w:val="15"/>
              </w:rPr>
              <w:t>Bolsa consolidada del archivo fuente; desglose por SKU pendiente de exportación de calculadora</w:t>
            </w:r>
          </w:p>
        </w:tc>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before="0" w:after="0" w:line="240" w:lineRule="auto"/>
              <w:jc w:val="center"/>
            </w:pPr>
            <w:r>
              <w:rPr>
                <w:sz w:val="15"/>
              </w:rPr>
              <w:t>27,1804</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before="0" w:after="0" w:line="240" w:lineRule="auto"/>
              <w:jc w:val="center"/>
            </w:pPr>
            <w:r>
              <w:rPr>
                <w:sz w:val="15"/>
              </w:rPr>
              <w:t>36</w:t>
            </w:r>
          </w:p>
        </w:tc>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before="0" w:after="0" w:line="240" w:lineRule="auto"/>
              <w:jc w:val="center"/>
            </w:pPr>
            <w:r>
              <w:rPr>
                <w:sz w:val="15"/>
              </w:rPr>
              <w:t>930</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before="0" w:after="0" w:line="240" w:lineRule="auto"/>
              <w:jc w:val="center"/>
            </w:pPr>
            <w:r>
              <w:rPr>
                <w:sz w:val="15"/>
              </w:rPr>
              <w:t>$910.000</w:t>
            </w:r>
          </w:p>
        </w:tc>
      </w:tr>
    </w:tbl>
    <w:p>
      <w:r>
        <w:t>Fórmula de reproducción: USD/mes × 36 meses × $930 CLP/USD. Los decimales se muestran con cuatro posiciones para reconstruir los montos fuente; el cálculo financiero utiliza los totales CLP indicados. En cómputo temporal, el consumo real se concentra en seis ventanas. Estas bolsas son supuestos de planificación y deben validarse con una exportación fechada de Google Cloud Pricing Calculator antes de contratación.</w:t>
      </w:r>
    </w:p>
    <w:p w14:paraId="66B9C9B1" w14:textId="77777777" w:rsidR="0095229B" w:rsidRDefault="0095229B">
      <w:pPr>
        <w:pStyle w:val="NormalWeb"/>
        <w:rPr>
          <w:rFonts w:ascii="Aptos" w:hAnsi="Aptos"/>
          <w:color w:val="111111"/>
          <w:sz w:val="21"/>
          <w:szCs w:val="21"/>
          <w:lang w:val="es-ES"/>
        </w:rPr>
      </w:pPr>
      <w:r>
        <w:rPr>
          <w:rFonts w:ascii="Aptos" w:hAnsi="Aptos"/>
          <w:b/>
          <w:bCs/>
          <w:color w:val="111111"/>
          <w:sz w:val="21"/>
          <w:szCs w:val="21"/>
          <w:lang w:val="es-ES"/>
        </w:rPr>
        <w:t>Lectura financiera. Cloud no requiere compra de servidor. El componente predominante es RRHH: $8.272.000, equivalente al 76,5% del TCO Cloud corregido. Por ello, una discusión de precio centrada solo en Cloud Run u hosting sería incompleta.</w:t>
      </w:r>
    </w:p>
    <w:p w14:paraId="007B758E" w14:textId="77777777" w:rsidR="0095229B" w:rsidRDefault="0095229B">
      <w:pPr>
        <w:pStyle w:val="Ttulo2"/>
        <w:rPr>
          <w:rFonts w:ascii="Aptos" w:eastAsia="Times New Roman" w:hAnsi="Aptos"/>
          <w:color w:val="111111"/>
          <w:lang w:val="es-ES"/>
        </w:rPr>
      </w:pPr>
      <w:r>
        <w:rPr>
          <w:rFonts w:ascii="Aptos" w:eastAsia="Times New Roman" w:hAnsi="Aptos"/>
          <w:color w:val="111111"/>
          <w:lang w:val="es-ES"/>
        </w:rPr>
        <w:t>3. D9 Evaluación financiera Local</w:t>
      </w:r>
    </w:p>
    <w:p w14:paraId="1B596B6E" w14:textId="77777777" w:rsidR="0095229B" w:rsidRDefault="0095229B">
      <w:pPr>
        <w:pStyle w:val="NormalWeb"/>
        <w:rPr>
          <w:rFonts w:ascii="Aptos" w:hAnsi="Aptos"/>
          <w:color w:val="111111"/>
          <w:sz w:val="21"/>
          <w:szCs w:val="21"/>
          <w:lang w:val="es-ES"/>
        </w:rPr>
      </w:pPr>
      <w:r>
        <w:rPr>
          <w:rFonts w:ascii="Aptos" w:hAnsi="Aptos"/>
          <w:color w:val="111111"/>
          <w:sz w:val="21"/>
          <w:szCs w:val="21"/>
          <w:lang w:val="es-ES"/>
        </w:rPr>
        <w:t>La alternativa Local conserva aplicación, procesamiento y PostgreSQL dentro del hospital. Su ventaja es el control directo del entorno, pero el hospital absorbe la responsabilidad por parches, respaldo, recuperación, monitoreo, energía y renovación de componentes.</w:t>
      </w:r>
    </w:p>
    <w:tbl>
      <w:tblPr>
        <w:tblW w:w="5000" w:type="pct"/>
        <w:tblCellMar>
          <w:top w:w="15" w:type="dxa"/>
          <w:left w:w="15" w:type="dxa"/>
          <w:bottom w:w="15" w:type="dxa"/>
          <w:right w:w="15" w:type="dxa"/>
        </w:tblCellMar>
        <w:tblLook w:val="04A0" w:firstRow="1" w:lastRow="0" w:firstColumn="1" w:lastColumn="0" w:noHBand="0" w:noVBand="1"/>
      </w:tblPr>
      <w:tblGrid>
        <w:gridCol w:w="1411"/>
        <w:gridCol w:w="1840"/>
        <w:gridCol w:w="1238"/>
        <w:gridCol w:w="2369"/>
        <w:gridCol w:w="1964"/>
      </w:tblGrid>
      <w:tr w:rsidR="00000000" w14:paraId="3FC8AEA2" w14:textId="77777777">
        <w:trPr>
          <w:tblHeader w:val="true"/>
          <w:cantSplit/>
        </w:trPr>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507B2032"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Partida</w:t>
            </w:r>
          </w:p>
        </w:tc>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1E8EFD37"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Base de cálculo</w:t>
            </w:r>
          </w:p>
        </w:tc>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6E94D715"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36 meses CLP</w:t>
            </w:r>
          </w:p>
        </w:tc>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5F0C31FE"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Tipo</w:t>
            </w:r>
          </w:p>
        </w:tc>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71E6D6BB"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Fuente o supuesto</w:t>
            </w:r>
          </w:p>
        </w:tc>
      </w:tr>
      <w:tr w:rsidR="00000000" w14:paraId="53B63355"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10E04982"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Servidor Dell PowerEdge T160</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0770ACBD"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Xeon, 16 GB, 2 TB</w:t>
            </w:r>
          </w:p>
        </w:tc>
        <w:tc>
          <w:tcPr>
            <w:tcW w:w="0" w:type="auto"/>
            <w:tcBorders>
              <w:top w:val="single" w:sz="6" w:space="0" w:color="D9D9D9"/>
              <w:left w:val="single" w:sz="6" w:space="0" w:color="D9D9D9"/>
              <w:bottom w:val="single" w:sz="6" w:space="0" w:color="D9D9D9"/>
              <w:right w:val="single" w:sz="6" w:space="0" w:color="D9D9D9"/>
            </w:tcBorders>
            <w:noWrap/>
            <w:tcMar>
              <w:top w:w="100" w:type="dxa"/>
              <w:left w:w="120" w:type="dxa"/>
              <w:bottom w:w="100" w:type="dxa"/>
              <w:right w:w="120" w:type="dxa"/>
            </w:tcMar>
            <w:vAlign w:val="center"/>
            <w:hideMark/>
          </w:tcPr>
          <w:p w14:paraId="089F7E18" w14:textId="77777777" w:rsidR="0095229B" w:rsidRDefault="0095229B">
            <w:pPr>
              <w:spacing w:before="160" w:after="240"/>
              <w:jc w:val="right"/>
              <w:rPr>
                <w:rFonts w:ascii="Aptos" w:eastAsia="Times New Roman" w:hAnsi="Aptos"/>
                <w:color w:val="111111"/>
                <w:sz w:val="18"/>
                <w:szCs w:val="18"/>
              </w:rPr>
            </w:pPr>
            <w:r>
              <w:rPr>
                <w:rFonts w:ascii="Aptos" w:eastAsia="Times New Roman" w:hAnsi="Aptos"/>
                <w:color w:val="111111"/>
                <w:sz w:val="18"/>
                <w:szCs w:val="18"/>
              </w:rPr>
              <w:t>$1.922.010</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69B5115E"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CAPEX</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62683B42"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Referencia pendiente: falta proveedor/URL/cotización y fecha verificable.</w:t>
            </w:r>
          </w:p>
        </w:tc>
      </w:tr>
      <w:tr w:rsidR="00000000" w14:paraId="05A98619"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0FDC3459"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SSD empresarial</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0DD10676"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Kingston DC600M 960 GB</w:t>
            </w:r>
          </w:p>
        </w:tc>
        <w:tc>
          <w:tcPr>
            <w:tcW w:w="0" w:type="auto"/>
            <w:tcBorders>
              <w:top w:val="single" w:sz="6" w:space="0" w:color="D9D9D9"/>
              <w:left w:val="single" w:sz="6" w:space="0" w:color="D9D9D9"/>
              <w:bottom w:val="single" w:sz="6" w:space="0" w:color="D9D9D9"/>
              <w:right w:val="single" w:sz="6" w:space="0" w:color="D9D9D9"/>
            </w:tcBorders>
            <w:noWrap/>
            <w:tcMar>
              <w:top w:w="100" w:type="dxa"/>
              <w:left w:w="120" w:type="dxa"/>
              <w:bottom w:w="100" w:type="dxa"/>
              <w:right w:w="120" w:type="dxa"/>
            </w:tcMar>
            <w:vAlign w:val="center"/>
            <w:hideMark/>
          </w:tcPr>
          <w:p w14:paraId="26F1A553" w14:textId="77777777" w:rsidR="0095229B" w:rsidRDefault="0095229B">
            <w:pPr>
              <w:spacing w:before="160" w:after="240"/>
              <w:jc w:val="right"/>
              <w:rPr>
                <w:rFonts w:ascii="Aptos" w:eastAsia="Times New Roman" w:hAnsi="Aptos"/>
                <w:color w:val="111111"/>
                <w:sz w:val="18"/>
                <w:szCs w:val="18"/>
              </w:rPr>
            </w:pPr>
            <w:r>
              <w:rPr>
                <w:rFonts w:ascii="Aptos" w:eastAsia="Times New Roman" w:hAnsi="Aptos"/>
                <w:color w:val="111111"/>
                <w:sz w:val="18"/>
                <w:szCs w:val="18"/>
              </w:rPr>
              <w:t>$697.450</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1F602D6F"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CAPEX</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47BBAB5A"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Referencia pendiente: falta proveedor/URL/cotización y fecha verificable.</w:t>
            </w:r>
          </w:p>
        </w:tc>
      </w:tr>
      <w:tr w:rsidR="00000000" w14:paraId="543EFE98"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538A1DDC"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UPS</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74A86446"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APC Smart UPS C 1500 VA</w:t>
            </w:r>
          </w:p>
        </w:tc>
        <w:tc>
          <w:tcPr>
            <w:tcW w:w="0" w:type="auto"/>
            <w:tcBorders>
              <w:top w:val="single" w:sz="6" w:space="0" w:color="D9D9D9"/>
              <w:left w:val="single" w:sz="6" w:space="0" w:color="D9D9D9"/>
              <w:bottom w:val="single" w:sz="6" w:space="0" w:color="D9D9D9"/>
              <w:right w:val="single" w:sz="6" w:space="0" w:color="D9D9D9"/>
            </w:tcBorders>
            <w:noWrap/>
            <w:tcMar>
              <w:top w:w="100" w:type="dxa"/>
              <w:left w:w="120" w:type="dxa"/>
              <w:bottom w:w="100" w:type="dxa"/>
              <w:right w:w="120" w:type="dxa"/>
            </w:tcMar>
            <w:vAlign w:val="center"/>
            <w:hideMark/>
          </w:tcPr>
          <w:p w14:paraId="7B1BCC16" w14:textId="77777777" w:rsidR="0095229B" w:rsidRDefault="0095229B">
            <w:pPr>
              <w:spacing w:before="160" w:after="240"/>
              <w:jc w:val="right"/>
              <w:rPr>
                <w:rFonts w:ascii="Aptos" w:eastAsia="Times New Roman" w:hAnsi="Aptos"/>
                <w:color w:val="111111"/>
                <w:sz w:val="18"/>
                <w:szCs w:val="18"/>
              </w:rPr>
            </w:pPr>
            <w:r>
              <w:rPr>
                <w:rFonts w:ascii="Aptos" w:eastAsia="Times New Roman" w:hAnsi="Aptos"/>
                <w:color w:val="111111"/>
                <w:sz w:val="18"/>
                <w:szCs w:val="18"/>
              </w:rPr>
              <w:t>$334.350</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74714F2A"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CAPEX</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39F7031B"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Referencia pendiente: falta proveedor/URL/cotización y fecha verificable.</w:t>
            </w:r>
          </w:p>
        </w:tc>
      </w:tr>
      <w:tr w:rsidR="00000000" w14:paraId="7A26EC40"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0FB9FA9E"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Medios de backup</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6CD03A5D"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2 discos externos de 2 TB</w:t>
            </w:r>
          </w:p>
        </w:tc>
        <w:tc>
          <w:tcPr>
            <w:tcW w:w="0" w:type="auto"/>
            <w:tcBorders>
              <w:top w:val="single" w:sz="6" w:space="0" w:color="D9D9D9"/>
              <w:left w:val="single" w:sz="6" w:space="0" w:color="D9D9D9"/>
              <w:bottom w:val="single" w:sz="6" w:space="0" w:color="D9D9D9"/>
              <w:right w:val="single" w:sz="6" w:space="0" w:color="D9D9D9"/>
            </w:tcBorders>
            <w:noWrap/>
            <w:tcMar>
              <w:top w:w="100" w:type="dxa"/>
              <w:left w:w="120" w:type="dxa"/>
              <w:bottom w:w="100" w:type="dxa"/>
              <w:right w:w="120" w:type="dxa"/>
            </w:tcMar>
            <w:vAlign w:val="center"/>
            <w:hideMark/>
          </w:tcPr>
          <w:p w14:paraId="0B5C001E" w14:textId="77777777" w:rsidR="0095229B" w:rsidRDefault="0095229B">
            <w:pPr>
              <w:spacing w:before="160" w:after="240"/>
              <w:jc w:val="right"/>
              <w:rPr>
                <w:rFonts w:ascii="Aptos" w:eastAsia="Times New Roman" w:hAnsi="Aptos"/>
                <w:color w:val="111111"/>
                <w:sz w:val="18"/>
                <w:szCs w:val="18"/>
              </w:rPr>
            </w:pPr>
            <w:r>
              <w:rPr>
                <w:rFonts w:ascii="Aptos" w:eastAsia="Times New Roman" w:hAnsi="Aptos"/>
                <w:color w:val="111111"/>
                <w:sz w:val="18"/>
                <w:szCs w:val="18"/>
              </w:rPr>
              <w:t>$277.720</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637D3BF7"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CAPEX</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56724DFE"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Referencia pendiente: falta proveedor/URL/cotización y fecha verificable.</w:t>
            </w:r>
          </w:p>
        </w:tc>
      </w:tr>
      <w:tr w:rsidR="00000000" w14:paraId="741B58EB"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4242516E"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Red, hardening y accesorios</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053ABE4F"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Segmentación, cableado, accesorios y configuración</w:t>
            </w:r>
          </w:p>
        </w:tc>
        <w:tc>
          <w:tcPr>
            <w:tcW w:w="0" w:type="auto"/>
            <w:tcBorders>
              <w:top w:val="single" w:sz="6" w:space="0" w:color="D9D9D9"/>
              <w:left w:val="single" w:sz="6" w:space="0" w:color="D9D9D9"/>
              <w:bottom w:val="single" w:sz="6" w:space="0" w:color="D9D9D9"/>
              <w:right w:val="single" w:sz="6" w:space="0" w:color="D9D9D9"/>
            </w:tcBorders>
            <w:noWrap/>
            <w:tcMar>
              <w:top w:w="100" w:type="dxa"/>
              <w:left w:w="120" w:type="dxa"/>
              <w:bottom w:w="100" w:type="dxa"/>
              <w:right w:w="120" w:type="dxa"/>
            </w:tcMar>
            <w:vAlign w:val="center"/>
            <w:hideMark/>
          </w:tcPr>
          <w:p w14:paraId="39A38BE8" w14:textId="77777777" w:rsidR="0095229B" w:rsidRDefault="0095229B">
            <w:pPr>
              <w:spacing w:before="160" w:after="240"/>
              <w:jc w:val="right"/>
              <w:rPr>
                <w:rFonts w:ascii="Aptos" w:eastAsia="Times New Roman" w:hAnsi="Aptos"/>
                <w:color w:val="111111"/>
                <w:sz w:val="18"/>
                <w:szCs w:val="18"/>
              </w:rPr>
            </w:pPr>
            <w:r>
              <w:rPr>
                <w:rFonts w:ascii="Aptos" w:eastAsia="Times New Roman" w:hAnsi="Aptos"/>
                <w:color w:val="111111"/>
                <w:sz w:val="18"/>
                <w:szCs w:val="18"/>
              </w:rPr>
              <w:t>$350.000</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523B0764"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CAPEX</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3D976570"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Supuesto de planificación.</w:t>
            </w:r>
          </w:p>
        </w:tc>
      </w:tr>
      <w:tr w:rsidR="00000000" w14:paraId="5A969A49"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582F2A67"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lastRenderedPageBreak/>
              <w:t>Energía, mantención y repuestos</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247A9526"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Provisión operacional para 36 meses</w:t>
            </w:r>
          </w:p>
        </w:tc>
        <w:tc>
          <w:tcPr>
            <w:tcW w:w="0" w:type="auto"/>
            <w:tcBorders>
              <w:top w:val="single" w:sz="6" w:space="0" w:color="D9D9D9"/>
              <w:left w:val="single" w:sz="6" w:space="0" w:color="D9D9D9"/>
              <w:bottom w:val="single" w:sz="6" w:space="0" w:color="D9D9D9"/>
              <w:right w:val="single" w:sz="6" w:space="0" w:color="D9D9D9"/>
            </w:tcBorders>
            <w:noWrap/>
            <w:tcMar>
              <w:top w:w="100" w:type="dxa"/>
              <w:left w:w="120" w:type="dxa"/>
              <w:bottom w:w="100" w:type="dxa"/>
              <w:right w:w="120" w:type="dxa"/>
            </w:tcMar>
            <w:vAlign w:val="center"/>
            <w:hideMark/>
          </w:tcPr>
          <w:p w14:paraId="0DB8A395" w14:textId="77777777" w:rsidR="0095229B" w:rsidRDefault="0095229B">
            <w:pPr>
              <w:spacing w:before="160" w:after="240"/>
              <w:jc w:val="right"/>
              <w:rPr>
                <w:rFonts w:ascii="Aptos" w:eastAsia="Times New Roman" w:hAnsi="Aptos"/>
                <w:color w:val="111111"/>
                <w:sz w:val="18"/>
                <w:szCs w:val="18"/>
              </w:rPr>
            </w:pPr>
            <w:r>
              <w:rPr>
                <w:rFonts w:ascii="Aptos" w:eastAsia="Times New Roman" w:hAnsi="Aptos"/>
                <w:color w:val="111111"/>
                <w:sz w:val="18"/>
                <w:szCs w:val="18"/>
              </w:rPr>
              <w:t>$1.823.755</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7F683742"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OPEX</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5C1CDEA7"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Supuesto de planificación; revisar tarifa eléctrica institucional.</w:t>
            </w:r>
          </w:p>
        </w:tc>
      </w:tr>
      <w:tr w:rsidR="00000000" w14:paraId="38BFF3B8"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5EA9D8C1"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RRHH</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34ED5615"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Modelo común más 300 h SysAdmin</w:t>
            </w:r>
          </w:p>
        </w:tc>
        <w:tc>
          <w:tcPr>
            <w:tcW w:w="0" w:type="auto"/>
            <w:tcBorders>
              <w:top w:val="single" w:sz="6" w:space="0" w:color="D9D9D9"/>
              <w:left w:val="single" w:sz="6" w:space="0" w:color="D9D9D9"/>
              <w:bottom w:val="single" w:sz="6" w:space="0" w:color="D9D9D9"/>
              <w:right w:val="single" w:sz="6" w:space="0" w:color="D9D9D9"/>
            </w:tcBorders>
            <w:noWrap/>
            <w:tcMar>
              <w:top w:w="100" w:type="dxa"/>
              <w:left w:w="120" w:type="dxa"/>
              <w:bottom w:w="100" w:type="dxa"/>
              <w:right w:w="120" w:type="dxa"/>
            </w:tcMar>
            <w:vAlign w:val="center"/>
            <w:hideMark/>
          </w:tcPr>
          <w:p w14:paraId="100C21AC" w14:textId="77777777" w:rsidR="0095229B" w:rsidRDefault="0095229B">
            <w:pPr>
              <w:spacing w:before="160" w:after="240"/>
              <w:jc w:val="right"/>
              <w:rPr>
                <w:rFonts w:ascii="Aptos" w:eastAsia="Times New Roman" w:hAnsi="Aptos"/>
                <w:color w:val="111111"/>
                <w:sz w:val="18"/>
                <w:szCs w:val="18"/>
              </w:rPr>
            </w:pPr>
            <w:r>
              <w:rPr>
                <w:rFonts w:ascii="Aptos" w:eastAsia="Times New Roman" w:hAnsi="Aptos"/>
                <w:color w:val="111111"/>
                <w:sz w:val="18"/>
                <w:szCs w:val="18"/>
              </w:rPr>
              <w:t>$9.952.000</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3C74863F"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Implementación/operación</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5D4EF2A8"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Incluye recuperación y mantenimiento del modelo.</w:t>
            </w:r>
          </w:p>
        </w:tc>
      </w:tr>
      <w:tr w:rsidR="00000000" w14:paraId="1E31A5C8" w14:textId="77777777">
        <w:trPr>
          <w:cantSplit/>
        </w:trPr>
        <w:tc>
          <w:tcPr>
            <w:tcW w:w="0" w:type="auto"/>
            <w:gridSpan w:val="2"/>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hideMark/>
          </w:tcPr>
          <w:p w14:paraId="36F5A7C5" w14:textId="77777777" w:rsidR="0095229B" w:rsidRDefault="0095229B">
            <w:pPr>
              <w:spacing w:before="160" w:after="240"/>
              <w:rPr>
                <w:rFonts w:ascii="Aptos" w:eastAsia="Times New Roman" w:hAnsi="Aptos"/>
                <w:b/>
                <w:bCs/>
                <w:color w:val="111111"/>
                <w:sz w:val="18"/>
                <w:szCs w:val="18"/>
              </w:rPr>
            </w:pPr>
            <w:r>
              <w:rPr>
                <w:rFonts w:ascii="Aptos" w:eastAsia="Times New Roman" w:hAnsi="Aptos"/>
                <w:b/>
                <w:bCs/>
                <w:color w:val="111111"/>
                <w:sz w:val="18"/>
                <w:szCs w:val="18"/>
              </w:rPr>
              <w:t>Subtotal Local</w:t>
            </w:r>
          </w:p>
        </w:tc>
        <w:tc>
          <w:tcPr>
            <w:tcW w:w="0" w:type="auto"/>
            <w:tcBorders>
              <w:top w:val="single" w:sz="6" w:space="0" w:color="D9D9D9"/>
              <w:left w:val="single" w:sz="6" w:space="0" w:color="D9D9D9"/>
              <w:bottom w:val="single" w:sz="6" w:space="0" w:color="D9D9D9"/>
              <w:right w:val="single" w:sz="6" w:space="0" w:color="D9D9D9"/>
            </w:tcBorders>
            <w:shd w:val="clear" w:color="auto" w:fill="D9EAF7"/>
            <w:noWrap/>
            <w:tcMar>
              <w:top w:w="100" w:type="dxa"/>
              <w:left w:w="120" w:type="dxa"/>
              <w:bottom w:w="100" w:type="dxa"/>
              <w:right w:w="120" w:type="dxa"/>
            </w:tcMar>
            <w:vAlign w:val="center"/>
            <w:hideMark/>
          </w:tcPr>
          <w:p w14:paraId="093206D0" w14:textId="77777777" w:rsidR="0095229B" w:rsidRDefault="0095229B">
            <w:pPr>
              <w:spacing w:before="160" w:after="240"/>
              <w:jc w:val="right"/>
              <w:rPr>
                <w:rFonts w:ascii="Aptos" w:eastAsia="Times New Roman" w:hAnsi="Aptos"/>
                <w:b/>
                <w:bCs/>
                <w:color w:val="111111"/>
                <w:sz w:val="18"/>
                <w:szCs w:val="18"/>
              </w:rPr>
            </w:pPr>
            <w:r>
              <w:rPr>
                <w:rFonts w:ascii="Aptos" w:eastAsia="Times New Roman" w:hAnsi="Aptos"/>
                <w:b/>
                <w:bCs/>
                <w:color w:val="111111"/>
                <w:sz w:val="18"/>
                <w:szCs w:val="18"/>
              </w:rPr>
              <w:t>$15.357.285</w:t>
            </w:r>
          </w:p>
        </w:tc>
        <w:tc>
          <w:tcPr>
            <w:tcW w:w="0" w:type="auto"/>
            <w:gridSpan w:val="2"/>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hideMark/>
          </w:tcPr>
          <w:p w14:paraId="5F3C0FA9" w14:textId="77777777" w:rsidR="0095229B" w:rsidRDefault="0095229B">
            <w:pPr>
              <w:spacing w:before="160" w:after="240"/>
              <w:jc w:val="right"/>
              <w:rPr>
                <w:rFonts w:ascii="Aptos" w:eastAsia="Times New Roman" w:hAnsi="Aptos"/>
                <w:b/>
                <w:bCs/>
                <w:color w:val="111111"/>
                <w:sz w:val="18"/>
                <w:szCs w:val="18"/>
              </w:rPr>
            </w:pPr>
          </w:p>
        </w:tc>
      </w:tr>
      <w:tr w:rsidR="00000000" w14:paraId="6E5164DB" w14:textId="77777777">
        <w:trPr>
          <w:cantSplit/>
        </w:trPr>
        <w:tc>
          <w:tcPr>
            <w:tcW w:w="0" w:type="auto"/>
            <w:gridSpan w:val="2"/>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hideMark/>
          </w:tcPr>
          <w:p w14:paraId="71B1A5E5" w14:textId="77777777" w:rsidR="0095229B" w:rsidRDefault="0095229B">
            <w:pPr>
              <w:spacing w:before="160" w:after="240"/>
              <w:rPr>
                <w:rFonts w:ascii="Aptos" w:eastAsia="Times New Roman" w:hAnsi="Aptos"/>
                <w:b/>
                <w:bCs/>
                <w:color w:val="111111"/>
                <w:sz w:val="18"/>
                <w:szCs w:val="18"/>
              </w:rPr>
            </w:pPr>
            <w:r>
              <w:rPr>
                <w:rFonts w:ascii="Aptos" w:eastAsia="Times New Roman" w:hAnsi="Aptos"/>
                <w:b/>
                <w:bCs/>
                <w:color w:val="111111"/>
                <w:sz w:val="18"/>
                <w:szCs w:val="18"/>
              </w:rPr>
              <w:t>Contingencia 10%</w:t>
            </w:r>
          </w:p>
        </w:tc>
        <w:tc>
          <w:tcPr>
            <w:tcW w:w="0" w:type="auto"/>
            <w:tcBorders>
              <w:top w:val="single" w:sz="6" w:space="0" w:color="D9D9D9"/>
              <w:left w:val="single" w:sz="6" w:space="0" w:color="D9D9D9"/>
              <w:bottom w:val="single" w:sz="6" w:space="0" w:color="D9D9D9"/>
              <w:right w:val="single" w:sz="6" w:space="0" w:color="D9D9D9"/>
            </w:tcBorders>
            <w:shd w:val="clear" w:color="auto" w:fill="D9EAF7"/>
            <w:noWrap/>
            <w:tcMar>
              <w:top w:w="100" w:type="dxa"/>
              <w:left w:w="120" w:type="dxa"/>
              <w:bottom w:w="100" w:type="dxa"/>
              <w:right w:w="120" w:type="dxa"/>
            </w:tcMar>
            <w:vAlign w:val="center"/>
            <w:hideMark/>
          </w:tcPr>
          <w:p w14:paraId="473643E4" w14:textId="77777777" w:rsidR="0095229B" w:rsidRDefault="0095229B">
            <w:pPr>
              <w:spacing w:before="160" w:after="240"/>
              <w:jc w:val="right"/>
              <w:rPr>
                <w:rFonts w:ascii="Aptos" w:eastAsia="Times New Roman" w:hAnsi="Aptos"/>
                <w:b/>
                <w:bCs/>
                <w:color w:val="111111"/>
                <w:sz w:val="18"/>
                <w:szCs w:val="18"/>
              </w:rPr>
            </w:pPr>
            <w:r>
              <w:rPr>
                <w:rFonts w:ascii="Aptos" w:eastAsia="Times New Roman" w:hAnsi="Aptos"/>
                <w:b/>
                <w:bCs/>
                <w:color w:val="111111"/>
                <w:sz w:val="18"/>
                <w:szCs w:val="18"/>
              </w:rPr>
              <w:t>$1.535.728</w:t>
            </w:r>
          </w:p>
        </w:tc>
        <w:tc>
          <w:tcPr>
            <w:tcW w:w="0" w:type="auto"/>
            <w:gridSpan w:val="2"/>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hideMark/>
          </w:tcPr>
          <w:p w14:paraId="07D76BDB" w14:textId="77777777" w:rsidR="0095229B" w:rsidRDefault="0095229B">
            <w:pPr>
              <w:spacing w:before="160" w:after="240"/>
              <w:jc w:val="right"/>
              <w:rPr>
                <w:rFonts w:ascii="Aptos" w:eastAsia="Times New Roman" w:hAnsi="Aptos"/>
                <w:b/>
                <w:bCs/>
                <w:color w:val="111111"/>
                <w:sz w:val="18"/>
                <w:szCs w:val="18"/>
              </w:rPr>
            </w:pPr>
          </w:p>
        </w:tc>
      </w:tr>
      <w:tr w:rsidR="00000000" w14:paraId="04D64400" w14:textId="77777777">
        <w:trPr>
          <w:cantSplit/>
        </w:trPr>
        <w:tc>
          <w:tcPr>
            <w:tcW w:w="0" w:type="auto"/>
            <w:gridSpan w:val="2"/>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hideMark/>
          </w:tcPr>
          <w:p w14:paraId="43971D85" w14:textId="77777777" w:rsidR="0095229B" w:rsidRDefault="0095229B">
            <w:pPr>
              <w:spacing w:before="160" w:after="240"/>
              <w:rPr>
                <w:rFonts w:ascii="Aptos" w:eastAsia="Times New Roman" w:hAnsi="Aptos"/>
                <w:b/>
                <w:bCs/>
                <w:color w:val="111111"/>
                <w:sz w:val="18"/>
                <w:szCs w:val="18"/>
              </w:rPr>
            </w:pPr>
            <w:r>
              <w:rPr>
                <w:rFonts w:ascii="Aptos" w:eastAsia="Times New Roman" w:hAnsi="Aptos"/>
                <w:b/>
                <w:bCs/>
                <w:color w:val="111111"/>
                <w:sz w:val="18"/>
                <w:szCs w:val="18"/>
              </w:rPr>
              <w:t>TCO Local 36 meses</w:t>
            </w:r>
          </w:p>
        </w:tc>
        <w:tc>
          <w:tcPr>
            <w:tcW w:w="0" w:type="auto"/>
            <w:tcBorders>
              <w:top w:val="single" w:sz="6" w:space="0" w:color="D9D9D9"/>
              <w:left w:val="single" w:sz="6" w:space="0" w:color="D9D9D9"/>
              <w:bottom w:val="single" w:sz="6" w:space="0" w:color="D9D9D9"/>
              <w:right w:val="single" w:sz="6" w:space="0" w:color="D9D9D9"/>
            </w:tcBorders>
            <w:shd w:val="clear" w:color="auto" w:fill="D9EAF7"/>
            <w:noWrap/>
            <w:tcMar>
              <w:top w:w="100" w:type="dxa"/>
              <w:left w:w="120" w:type="dxa"/>
              <w:bottom w:w="100" w:type="dxa"/>
              <w:right w:w="120" w:type="dxa"/>
            </w:tcMar>
            <w:vAlign w:val="center"/>
            <w:hideMark/>
          </w:tcPr>
          <w:p w14:paraId="175449D1" w14:textId="77777777" w:rsidR="0095229B" w:rsidRDefault="0095229B">
            <w:pPr>
              <w:spacing w:before="160" w:after="240"/>
              <w:jc w:val="right"/>
              <w:rPr>
                <w:rFonts w:ascii="Aptos" w:eastAsia="Times New Roman" w:hAnsi="Aptos"/>
                <w:b/>
                <w:bCs/>
                <w:color w:val="111111"/>
                <w:sz w:val="18"/>
                <w:szCs w:val="18"/>
              </w:rPr>
            </w:pPr>
            <w:r>
              <w:rPr>
                <w:rFonts w:ascii="Aptos" w:eastAsia="Times New Roman" w:hAnsi="Aptos"/>
                <w:b/>
                <w:bCs/>
                <w:color w:val="111111"/>
                <w:sz w:val="18"/>
                <w:szCs w:val="18"/>
              </w:rPr>
              <w:t>$16.893.013</w:t>
            </w:r>
          </w:p>
        </w:tc>
        <w:tc>
          <w:tcPr>
            <w:tcW w:w="0" w:type="auto"/>
            <w:gridSpan w:val="2"/>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hideMark/>
          </w:tcPr>
          <w:p w14:paraId="17A089E1" w14:textId="77777777" w:rsidR="0095229B" w:rsidRDefault="0095229B">
            <w:pPr>
              <w:spacing w:before="160" w:after="240"/>
              <w:jc w:val="right"/>
              <w:rPr>
                <w:rFonts w:ascii="Aptos" w:eastAsia="Times New Roman" w:hAnsi="Aptos"/>
                <w:b/>
                <w:bCs/>
                <w:color w:val="111111"/>
                <w:sz w:val="18"/>
                <w:szCs w:val="18"/>
              </w:rPr>
            </w:pPr>
          </w:p>
        </w:tc>
      </w:tr>
    </w:tbl>
    <w:p>
      <w:r>
        <w:t>Estado de evidencia de hardware: el documento fuente no incluye enlaces, proveedores ni cotizaciones adjuntas. Por esta razón, los valores locales e híbridos se conservan para comparación, pero quedan explícitamente pendientes de respaldo documental y actualización antes de la entrega consolidada.</w:t>
      </w:r>
    </w:p>
    <w:p w14:paraId="2AFB5D83" w14:textId="77777777" w:rsidR="0095229B" w:rsidRDefault="0095229B">
      <w:pPr>
        <w:pStyle w:val="NormalWeb"/>
        <w:rPr>
          <w:rFonts w:ascii="Aptos" w:hAnsi="Aptos"/>
          <w:color w:val="111111"/>
          <w:sz w:val="21"/>
          <w:szCs w:val="21"/>
          <w:lang w:val="es-ES"/>
        </w:rPr>
      </w:pPr>
      <w:r>
        <w:rPr>
          <w:rFonts w:ascii="Aptos" w:hAnsi="Aptos"/>
          <w:b/>
          <w:bCs/>
          <w:color w:val="111111"/>
          <w:sz w:val="21"/>
          <w:szCs w:val="21"/>
          <w:lang w:val="es-ES"/>
        </w:rPr>
        <w:t>Lectura financiera.</w:t>
      </w:r>
      <w:r>
        <w:rPr>
          <w:rFonts w:ascii="Aptos" w:hAnsi="Aptos"/>
          <w:color w:val="111111"/>
          <w:sz w:val="21"/>
          <w:szCs w:val="21"/>
          <w:lang w:val="es-ES"/>
        </w:rPr>
        <w:t xml:space="preserve"> </w:t>
      </w:r>
      <w:r>
        <w:rPr>
          <w:rFonts w:ascii="Aptos" w:hAnsi="Aptos"/>
          <w:color w:val="111111"/>
          <w:sz w:val="21"/>
          <w:szCs w:val="21"/>
          <w:lang w:val="es-ES"/>
        </w:rPr>
        <w:t>Local concentra una inversión inicial relevante y mantiene costos de operación propios. La estimación considera una provisión moderada de energía, mantención y repuestos; si se exige una garantía extendida o se produce una falla de hardware, este costo debe revisarse en la sensibilidad.</w:t>
      </w:r>
    </w:p>
    <w:p w14:paraId="083F3632" w14:textId="77777777" w:rsidR="0095229B" w:rsidRDefault="0095229B">
      <w:pPr>
        <w:pStyle w:val="Ttulo2"/>
        <w:rPr>
          <w:rFonts w:ascii="Aptos" w:eastAsia="Times New Roman" w:hAnsi="Aptos"/>
          <w:color w:val="111111"/>
          <w:lang w:val="es-ES"/>
        </w:rPr>
      </w:pPr>
      <w:r>
        <w:rPr>
          <w:rFonts w:ascii="Aptos" w:eastAsia="Times New Roman" w:hAnsi="Aptos"/>
          <w:color w:val="111111"/>
          <w:lang w:val="es-ES"/>
        </w:rPr>
        <w:t>4. D10 Evaluación financiera Híbrida</w:t>
      </w:r>
    </w:p>
    <w:p w14:paraId="7C0EDA34" w14:textId="77777777" w:rsidR="0095229B" w:rsidRDefault="0095229B">
      <w:pPr>
        <w:pStyle w:val="NormalWeb"/>
        <w:rPr>
          <w:rFonts w:ascii="Aptos" w:hAnsi="Aptos"/>
          <w:color w:val="111111"/>
          <w:sz w:val="21"/>
          <w:szCs w:val="21"/>
          <w:lang w:val="es-ES"/>
        </w:rPr>
      </w:pPr>
      <w:r>
        <w:rPr>
          <w:rFonts w:ascii="Aptos" w:hAnsi="Aptos"/>
          <w:color w:val="111111"/>
          <w:sz w:val="21"/>
          <w:szCs w:val="21"/>
          <w:lang w:val="es-ES"/>
        </w:rPr>
        <w:t>La alternativa Híbrida conserva en el hospital el registro maestro, identidad, interfaz e integración. Entrenamiento e inferencia operan en GCP, transfiriendo solo los datos necesarios y pseudonimizados. Este diseño reduce infraestructura local, pero exige integración y controles en dos ambientes.</w:t>
      </w:r>
    </w:p>
    <w:tbl>
      <w:tblPr>
        <w:tblW w:w="5000" w:type="pct"/>
        <w:tblCellMar>
          <w:top w:w="15" w:type="dxa"/>
          <w:left w:w="15" w:type="dxa"/>
          <w:bottom w:w="15" w:type="dxa"/>
          <w:right w:w="15" w:type="dxa"/>
        </w:tblCellMar>
        <w:tblLook w:val="04A0" w:firstRow="1" w:lastRow="0" w:firstColumn="1" w:lastColumn="0" w:noHBand="0" w:noVBand="1"/>
      </w:tblPr>
      <w:tblGrid>
        <w:gridCol w:w="1383"/>
        <w:gridCol w:w="1920"/>
        <w:gridCol w:w="1219"/>
        <w:gridCol w:w="2369"/>
        <w:gridCol w:w="1931"/>
      </w:tblGrid>
      <w:tr w:rsidR="00000000" w14:paraId="33401C48" w14:textId="77777777">
        <w:trPr>
          <w:tblHeader w:val="true"/>
          <w:cantSplit/>
        </w:trPr>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60D5E603"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Partida</w:t>
            </w:r>
          </w:p>
        </w:tc>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08E5FB4D"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Base de cálculo</w:t>
            </w:r>
          </w:p>
        </w:tc>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79E67643"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36 meses CLP</w:t>
            </w:r>
          </w:p>
        </w:tc>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1953D883"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Tipo</w:t>
            </w:r>
          </w:p>
        </w:tc>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40A5C9EB"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Tratamiento</w:t>
            </w:r>
          </w:p>
        </w:tc>
      </w:tr>
      <w:tr w:rsidR="00000000" w14:paraId="42BFE008"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3D89BCD0"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Equipo local mínimo</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681D5C6A"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Dell OptiPlex 7020 MFF, i7, 16 GB, SSD 512 GB</w:t>
            </w:r>
          </w:p>
        </w:tc>
        <w:tc>
          <w:tcPr>
            <w:tcW w:w="0" w:type="auto"/>
            <w:tcBorders>
              <w:top w:val="single" w:sz="6" w:space="0" w:color="D9D9D9"/>
              <w:left w:val="single" w:sz="6" w:space="0" w:color="D9D9D9"/>
              <w:bottom w:val="single" w:sz="6" w:space="0" w:color="D9D9D9"/>
              <w:right w:val="single" w:sz="6" w:space="0" w:color="D9D9D9"/>
            </w:tcBorders>
            <w:noWrap/>
            <w:tcMar>
              <w:top w:w="100" w:type="dxa"/>
              <w:left w:w="120" w:type="dxa"/>
              <w:bottom w:w="100" w:type="dxa"/>
              <w:right w:w="120" w:type="dxa"/>
            </w:tcMar>
            <w:vAlign w:val="center"/>
            <w:hideMark/>
          </w:tcPr>
          <w:p w14:paraId="496F3B14" w14:textId="77777777" w:rsidR="0095229B" w:rsidRDefault="0095229B">
            <w:pPr>
              <w:spacing w:before="160" w:after="240"/>
              <w:jc w:val="right"/>
              <w:rPr>
                <w:rFonts w:ascii="Aptos" w:eastAsia="Times New Roman" w:hAnsi="Aptos"/>
                <w:color w:val="111111"/>
                <w:sz w:val="18"/>
                <w:szCs w:val="18"/>
              </w:rPr>
            </w:pPr>
            <w:r>
              <w:rPr>
                <w:rFonts w:ascii="Aptos" w:eastAsia="Times New Roman" w:hAnsi="Aptos"/>
                <w:color w:val="111111"/>
                <w:sz w:val="18"/>
                <w:szCs w:val="18"/>
              </w:rPr>
              <w:t>$1.241.850</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4B3A4FAC"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CAPEX</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170F586C"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Referencia pendiente: falta proveedor/URL/cotización y fecha verificable.</w:t>
            </w:r>
          </w:p>
        </w:tc>
      </w:tr>
      <w:tr w:rsidR="00000000" w14:paraId="5D928EFC"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5602609B"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UPS y backup local</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34410203"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UPS, disco de respaldo y accesorios</w:t>
            </w:r>
          </w:p>
        </w:tc>
        <w:tc>
          <w:tcPr>
            <w:tcW w:w="0" w:type="auto"/>
            <w:tcBorders>
              <w:top w:val="single" w:sz="6" w:space="0" w:color="D9D9D9"/>
              <w:left w:val="single" w:sz="6" w:space="0" w:color="D9D9D9"/>
              <w:bottom w:val="single" w:sz="6" w:space="0" w:color="D9D9D9"/>
              <w:right w:val="single" w:sz="6" w:space="0" w:color="D9D9D9"/>
            </w:tcBorders>
            <w:noWrap/>
            <w:tcMar>
              <w:top w:w="100" w:type="dxa"/>
              <w:left w:w="120" w:type="dxa"/>
              <w:bottom w:w="100" w:type="dxa"/>
              <w:right w:w="120" w:type="dxa"/>
            </w:tcMar>
            <w:vAlign w:val="center"/>
            <w:hideMark/>
          </w:tcPr>
          <w:p w14:paraId="3CF6EF8D" w14:textId="77777777" w:rsidR="0095229B" w:rsidRDefault="0095229B">
            <w:pPr>
              <w:spacing w:before="160" w:after="240"/>
              <w:jc w:val="right"/>
              <w:rPr>
                <w:rFonts w:ascii="Aptos" w:eastAsia="Times New Roman" w:hAnsi="Aptos"/>
                <w:color w:val="111111"/>
                <w:sz w:val="18"/>
                <w:szCs w:val="18"/>
              </w:rPr>
            </w:pPr>
            <w:r>
              <w:rPr>
                <w:rFonts w:ascii="Aptos" w:eastAsia="Times New Roman" w:hAnsi="Aptos"/>
                <w:color w:val="111111"/>
                <w:sz w:val="18"/>
                <w:szCs w:val="18"/>
              </w:rPr>
              <w:t>$473.210</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6850D27B"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CAPEX</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7FA7A5DA"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Referencia pendiente: falta proveedor/URL/cotización y fecha verificable.</w:t>
            </w:r>
          </w:p>
        </w:tc>
      </w:tr>
      <w:tr w:rsidR="00000000" w14:paraId="67B2D28E"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5A843DE0"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lastRenderedPageBreak/>
              <w:t>Servicios GCP</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1E469C89"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Cloud Run, Cloud Storage, cómputo temporal, base reducida y backups</w:t>
            </w:r>
          </w:p>
        </w:tc>
        <w:tc>
          <w:tcPr>
            <w:tcW w:w="0" w:type="auto"/>
            <w:tcBorders>
              <w:top w:val="single" w:sz="6" w:space="0" w:color="D9D9D9"/>
              <w:left w:val="single" w:sz="6" w:space="0" w:color="D9D9D9"/>
              <w:bottom w:val="single" w:sz="6" w:space="0" w:color="D9D9D9"/>
              <w:right w:val="single" w:sz="6" w:space="0" w:color="D9D9D9"/>
            </w:tcBorders>
            <w:noWrap/>
            <w:tcMar>
              <w:top w:w="100" w:type="dxa"/>
              <w:left w:w="120" w:type="dxa"/>
              <w:bottom w:w="100" w:type="dxa"/>
              <w:right w:w="120" w:type="dxa"/>
            </w:tcMar>
            <w:vAlign w:val="center"/>
            <w:hideMark/>
          </w:tcPr>
          <w:p w14:paraId="15EFE54D" w14:textId="77777777" w:rsidR="0095229B" w:rsidRDefault="0095229B">
            <w:pPr>
              <w:spacing w:before="160" w:after="240"/>
              <w:jc w:val="right"/>
              <w:rPr>
                <w:rFonts w:ascii="Aptos" w:eastAsia="Times New Roman" w:hAnsi="Aptos"/>
                <w:color w:val="111111"/>
                <w:sz w:val="18"/>
                <w:szCs w:val="18"/>
              </w:rPr>
            </w:pPr>
            <w:r>
              <w:rPr>
                <w:rFonts w:ascii="Aptos" w:eastAsia="Times New Roman" w:hAnsi="Aptos"/>
                <w:color w:val="111111"/>
                <w:sz w:val="18"/>
                <w:szCs w:val="18"/>
              </w:rPr>
              <w:t>$910.000</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2F3C70EC"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OPEX</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3CC4DF2F"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Estimación basada en tarifario GCP, convertida a CLP.</w:t>
            </w:r>
          </w:p>
        </w:tc>
      </w:tr>
      <w:tr w:rsidR="00000000" w14:paraId="1731E214"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52449289"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Conectividad, logs y doble monitoreo</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2BB682C3"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Provisión de 36 meses</w:t>
            </w:r>
          </w:p>
        </w:tc>
        <w:tc>
          <w:tcPr>
            <w:tcW w:w="0" w:type="auto"/>
            <w:tcBorders>
              <w:top w:val="single" w:sz="6" w:space="0" w:color="D9D9D9"/>
              <w:left w:val="single" w:sz="6" w:space="0" w:color="D9D9D9"/>
              <w:bottom w:val="single" w:sz="6" w:space="0" w:color="D9D9D9"/>
              <w:right w:val="single" w:sz="6" w:space="0" w:color="D9D9D9"/>
            </w:tcBorders>
            <w:noWrap/>
            <w:tcMar>
              <w:top w:w="100" w:type="dxa"/>
              <w:left w:w="120" w:type="dxa"/>
              <w:bottom w:w="100" w:type="dxa"/>
              <w:right w:w="120" w:type="dxa"/>
            </w:tcMar>
            <w:vAlign w:val="center"/>
            <w:hideMark/>
          </w:tcPr>
          <w:p w14:paraId="13C34963" w14:textId="77777777" w:rsidR="0095229B" w:rsidRDefault="0095229B">
            <w:pPr>
              <w:spacing w:before="160" w:after="240"/>
              <w:jc w:val="right"/>
              <w:rPr>
                <w:rFonts w:ascii="Aptos" w:eastAsia="Times New Roman" w:hAnsi="Aptos"/>
                <w:color w:val="111111"/>
                <w:sz w:val="18"/>
                <w:szCs w:val="18"/>
              </w:rPr>
            </w:pPr>
            <w:r>
              <w:rPr>
                <w:rFonts w:ascii="Aptos" w:eastAsia="Times New Roman" w:hAnsi="Aptos"/>
                <w:color w:val="111111"/>
                <w:sz w:val="18"/>
                <w:szCs w:val="18"/>
              </w:rPr>
              <w:t>$640.000</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45E30693"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OPEX</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3180044E"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Supuesto de planificación.</w:t>
            </w:r>
          </w:p>
        </w:tc>
      </w:tr>
      <w:tr w:rsidR="00000000" w14:paraId="2113FB04"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6FBAE684"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IVA servicios GCP</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702A3A34"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19% × servicios GCP de $910.000</w:t>
            </w:r>
          </w:p>
        </w:tc>
        <w:tc>
          <w:tcPr>
            <w:tcW w:w="0" w:type="auto"/>
            <w:tcBorders>
              <w:top w:val="single" w:sz="6" w:space="0" w:color="D9D9D9"/>
              <w:left w:val="single" w:sz="6" w:space="0" w:color="D9D9D9"/>
              <w:bottom w:val="single" w:sz="6" w:space="0" w:color="D9D9D9"/>
              <w:right w:val="single" w:sz="6" w:space="0" w:color="D9D9D9"/>
            </w:tcBorders>
            <w:noWrap/>
            <w:tcMar>
              <w:top w:w="100" w:type="dxa"/>
              <w:left w:w="120" w:type="dxa"/>
              <w:bottom w:w="100" w:type="dxa"/>
              <w:right w:w="120" w:type="dxa"/>
            </w:tcMar>
            <w:vAlign w:val="center"/>
            <w:hideMark/>
          </w:tcPr>
          <w:p w14:paraId="1F07DE98" w14:textId="77777777" w:rsidR="0095229B" w:rsidRDefault="0095229B">
            <w:pPr>
              <w:spacing w:before="160" w:after="240"/>
              <w:jc w:val="right"/>
              <w:rPr>
                <w:rFonts w:ascii="Aptos" w:eastAsia="Times New Roman" w:hAnsi="Aptos"/>
                <w:color w:val="111111"/>
                <w:sz w:val="18"/>
                <w:szCs w:val="18"/>
              </w:rPr>
            </w:pPr>
            <w:r>
              <w:rPr>
                <w:rFonts w:ascii="Aptos" w:eastAsia="Times New Roman" w:hAnsi="Aptos"/>
                <w:color w:val="111111"/>
                <w:sz w:val="18"/>
                <w:szCs w:val="18"/>
              </w:rPr>
              <w:t>$172.900</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0BF330E2"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Impuesto</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0BA70268"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IVA aplicado solo a la base GCP identificada.</w:t>
            </w:r>
          </w:p>
        </w:tc>
      </w:tr>
      <w:tr w:rsidR="00000000" w14:paraId="6C5C1C5A"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16919AE1"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RRHH</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6AEF55B8"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Modelo común más 280 h integración/DevOps</w:t>
            </w:r>
          </w:p>
        </w:tc>
        <w:tc>
          <w:tcPr>
            <w:tcW w:w="0" w:type="auto"/>
            <w:tcBorders>
              <w:top w:val="single" w:sz="6" w:space="0" w:color="D9D9D9"/>
              <w:left w:val="single" w:sz="6" w:space="0" w:color="D9D9D9"/>
              <w:bottom w:val="single" w:sz="6" w:space="0" w:color="D9D9D9"/>
              <w:right w:val="single" w:sz="6" w:space="0" w:color="D9D9D9"/>
            </w:tcBorders>
            <w:noWrap/>
            <w:tcMar>
              <w:top w:w="100" w:type="dxa"/>
              <w:left w:w="120" w:type="dxa"/>
              <w:bottom w:w="100" w:type="dxa"/>
              <w:right w:w="120" w:type="dxa"/>
            </w:tcMar>
            <w:vAlign w:val="center"/>
            <w:hideMark/>
          </w:tcPr>
          <w:p w14:paraId="7AB86595" w14:textId="77777777" w:rsidR="0095229B" w:rsidRDefault="0095229B">
            <w:pPr>
              <w:spacing w:before="160" w:after="240"/>
              <w:jc w:val="right"/>
              <w:rPr>
                <w:rFonts w:ascii="Aptos" w:eastAsia="Times New Roman" w:hAnsi="Aptos"/>
                <w:color w:val="111111"/>
                <w:sz w:val="18"/>
                <w:szCs w:val="18"/>
              </w:rPr>
            </w:pPr>
            <w:r>
              <w:rPr>
                <w:rFonts w:ascii="Aptos" w:eastAsia="Times New Roman" w:hAnsi="Aptos"/>
                <w:color w:val="111111"/>
                <w:sz w:val="18"/>
                <w:szCs w:val="18"/>
              </w:rPr>
              <w:t>$10.832.000</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0F1DFB25"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Implementación/operación</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0C387138"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Mayor carga por operación dual e integración.</w:t>
            </w:r>
          </w:p>
        </w:tc>
      </w:tr>
      <w:tr w:rsidR="00000000" w14:paraId="5EE63556" w14:textId="77777777">
        <w:trPr>
          <w:cantSplit/>
        </w:trPr>
        <w:tc>
          <w:tcPr>
            <w:tcW w:w="0" w:type="auto"/>
            <w:gridSpan w:val="2"/>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hideMark/>
          </w:tcPr>
          <w:p w14:paraId="24B88C94" w14:textId="77777777" w:rsidR="0095229B" w:rsidRDefault="0095229B">
            <w:pPr>
              <w:spacing w:before="160" w:after="240"/>
              <w:rPr>
                <w:rFonts w:ascii="Aptos" w:eastAsia="Times New Roman" w:hAnsi="Aptos"/>
                <w:b/>
                <w:bCs/>
                <w:color w:val="111111"/>
                <w:sz w:val="18"/>
                <w:szCs w:val="18"/>
              </w:rPr>
            </w:pPr>
            <w:r>
              <w:rPr>
                <w:rFonts w:ascii="Aptos" w:eastAsia="Times New Roman" w:hAnsi="Aptos"/>
                <w:b/>
                <w:bCs/>
                <w:color w:val="111111"/>
                <w:sz w:val="18"/>
                <w:szCs w:val="18"/>
              </w:rPr>
              <w:t>Subtotal Híbrida</w:t>
            </w:r>
          </w:p>
        </w:tc>
        <w:tc>
          <w:tcPr>
            <w:tcW w:w="0" w:type="auto"/>
            <w:tcBorders>
              <w:top w:val="single" w:sz="6" w:space="0" w:color="D9D9D9"/>
              <w:left w:val="single" w:sz="6" w:space="0" w:color="D9D9D9"/>
              <w:bottom w:val="single" w:sz="6" w:space="0" w:color="D9D9D9"/>
              <w:right w:val="single" w:sz="6" w:space="0" w:color="D9D9D9"/>
            </w:tcBorders>
            <w:shd w:val="clear" w:color="auto" w:fill="D9EAF7"/>
            <w:noWrap/>
            <w:tcMar>
              <w:top w:w="100" w:type="dxa"/>
              <w:left w:w="120" w:type="dxa"/>
              <w:bottom w:w="100" w:type="dxa"/>
              <w:right w:w="120" w:type="dxa"/>
            </w:tcMar>
            <w:vAlign w:val="center"/>
            <w:hideMark/>
          </w:tcPr>
          <w:p w14:paraId="56F5C230" w14:textId="77777777" w:rsidR="0095229B" w:rsidRDefault="0095229B">
            <w:pPr>
              <w:spacing w:before="160" w:after="240"/>
              <w:jc w:val="right"/>
              <w:rPr>
                <w:rFonts w:ascii="Aptos" w:eastAsia="Times New Roman" w:hAnsi="Aptos"/>
                <w:b/>
                <w:bCs/>
                <w:color w:val="111111"/>
                <w:sz w:val="18"/>
                <w:szCs w:val="18"/>
              </w:rPr>
            </w:pPr>
            <w:r>
              <w:rPr>
                <w:rFonts w:ascii="Aptos" w:eastAsia="Times New Roman" w:hAnsi="Aptos"/>
                <w:b/>
                <w:bCs/>
                <w:color w:val="111111"/>
                <w:sz w:val="15"/>
                <w:szCs w:val="18"/>
              </w:rPr>
              <w:t>$14.269.960</w:t>
            </w:r>
          </w:p>
        </w:tc>
        <w:tc>
          <w:tcPr>
            <w:tcW w:w="0" w:type="auto"/>
            <w:gridSpan w:val="2"/>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hideMark/>
          </w:tcPr>
          <w:p w14:paraId="2D277CA9" w14:textId="77777777" w:rsidR="0095229B" w:rsidRDefault="0095229B">
            <w:pPr>
              <w:spacing w:before="160" w:after="240"/>
              <w:jc w:val="right"/>
              <w:rPr>
                <w:rFonts w:ascii="Aptos" w:eastAsia="Times New Roman" w:hAnsi="Aptos"/>
                <w:b/>
                <w:bCs/>
                <w:color w:val="111111"/>
                <w:sz w:val="18"/>
                <w:szCs w:val="18"/>
              </w:rPr>
            </w:pPr>
          </w:p>
        </w:tc>
      </w:tr>
      <w:tr w:rsidR="00000000" w14:paraId="48246D7F" w14:textId="77777777">
        <w:trPr>
          <w:cantSplit/>
        </w:trPr>
        <w:tc>
          <w:tcPr>
            <w:tcW w:w="0" w:type="auto"/>
            <w:gridSpan w:val="2"/>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hideMark/>
          </w:tcPr>
          <w:p w14:paraId="40990B32" w14:textId="77777777" w:rsidR="0095229B" w:rsidRDefault="0095229B">
            <w:pPr>
              <w:spacing w:before="160" w:after="240"/>
              <w:rPr>
                <w:rFonts w:ascii="Aptos" w:eastAsia="Times New Roman" w:hAnsi="Aptos"/>
                <w:b/>
                <w:bCs/>
                <w:color w:val="111111"/>
                <w:sz w:val="18"/>
                <w:szCs w:val="18"/>
              </w:rPr>
            </w:pPr>
            <w:r>
              <w:rPr>
                <w:rFonts w:ascii="Aptos" w:eastAsia="Times New Roman" w:hAnsi="Aptos"/>
                <w:b/>
                <w:bCs/>
                <w:color w:val="111111"/>
                <w:sz w:val="18"/>
                <w:szCs w:val="18"/>
              </w:rPr>
              <w:t>10% × $14.269.960</w:t>
            </w:r>
          </w:p>
        </w:tc>
        <w:tc>
          <w:tcPr>
            <w:tcW w:w="0" w:type="auto"/>
            <w:tcBorders>
              <w:top w:val="single" w:sz="6" w:space="0" w:color="D9D9D9"/>
              <w:left w:val="single" w:sz="6" w:space="0" w:color="D9D9D9"/>
              <w:bottom w:val="single" w:sz="6" w:space="0" w:color="D9D9D9"/>
              <w:right w:val="single" w:sz="6" w:space="0" w:color="D9D9D9"/>
            </w:tcBorders>
            <w:shd w:val="clear" w:color="auto" w:fill="D9EAF7"/>
            <w:noWrap/>
            <w:tcMar>
              <w:top w:w="100" w:type="dxa"/>
              <w:left w:w="120" w:type="dxa"/>
              <w:bottom w:w="100" w:type="dxa"/>
              <w:right w:w="120" w:type="dxa"/>
            </w:tcMar>
            <w:vAlign w:val="center"/>
            <w:hideMark/>
          </w:tcPr>
          <w:p w14:paraId="4A4F46AB" w14:textId="77777777" w:rsidR="0095229B" w:rsidRDefault="0095229B">
            <w:pPr>
              <w:spacing w:before="160" w:after="240"/>
              <w:jc w:val="right"/>
              <w:rPr>
                <w:rFonts w:ascii="Aptos" w:eastAsia="Times New Roman" w:hAnsi="Aptos"/>
                <w:b/>
                <w:bCs/>
                <w:color w:val="111111"/>
                <w:sz w:val="18"/>
                <w:szCs w:val="18"/>
              </w:rPr>
            </w:pPr>
            <w:r>
              <w:rPr>
                <w:rFonts w:ascii="Aptos" w:eastAsia="Times New Roman" w:hAnsi="Aptos"/>
                <w:b/>
                <w:bCs/>
                <w:color w:val="111111"/>
                <w:sz w:val="15"/>
                <w:szCs w:val="18"/>
              </w:rPr>
              <w:t>$1.426.996</w:t>
            </w:r>
          </w:p>
        </w:tc>
        <w:tc>
          <w:tcPr>
            <w:tcW w:w="0" w:type="auto"/>
            <w:gridSpan w:val="2"/>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hideMark/>
          </w:tcPr>
          <w:p w14:paraId="5E56EF3A" w14:textId="77777777" w:rsidR="0095229B" w:rsidRDefault="0095229B">
            <w:pPr>
              <w:spacing w:before="160" w:after="240"/>
              <w:jc w:val="right"/>
              <w:rPr>
                <w:rFonts w:ascii="Aptos" w:eastAsia="Times New Roman" w:hAnsi="Aptos"/>
                <w:b/>
                <w:bCs/>
                <w:color w:val="111111"/>
                <w:sz w:val="18"/>
                <w:szCs w:val="18"/>
              </w:rPr>
            </w:pPr>
          </w:p>
        </w:tc>
      </w:tr>
      <w:tr w:rsidR="00000000" w14:paraId="141CB5AD" w14:textId="77777777">
        <w:trPr>
          <w:cantSplit/>
        </w:trPr>
        <w:tc>
          <w:tcPr>
            <w:tcW w:w="0" w:type="auto"/>
            <w:gridSpan w:val="2"/>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hideMark/>
          </w:tcPr>
          <w:p w14:paraId="38896A6B" w14:textId="77777777" w:rsidR="0095229B" w:rsidRDefault="0095229B">
            <w:pPr>
              <w:spacing w:before="160" w:after="240"/>
              <w:rPr>
                <w:rFonts w:ascii="Aptos" w:eastAsia="Times New Roman" w:hAnsi="Aptos"/>
                <w:b/>
                <w:bCs/>
                <w:color w:val="111111"/>
                <w:sz w:val="18"/>
                <w:szCs w:val="18"/>
              </w:rPr>
            </w:pPr>
            <w:r>
              <w:rPr>
                <w:rFonts w:ascii="Aptos" w:eastAsia="Times New Roman" w:hAnsi="Aptos"/>
                <w:b/>
                <w:bCs/>
                <w:color w:val="111111"/>
                <w:sz w:val="18"/>
                <w:szCs w:val="18"/>
              </w:rPr>
              <w:t>TCO Híbrida 36 meses</w:t>
            </w:r>
          </w:p>
        </w:tc>
        <w:tc>
          <w:tcPr>
            <w:tcW w:w="0" w:type="auto"/>
            <w:tcBorders>
              <w:top w:val="single" w:sz="6" w:space="0" w:color="D9D9D9"/>
              <w:left w:val="single" w:sz="6" w:space="0" w:color="D9D9D9"/>
              <w:bottom w:val="single" w:sz="6" w:space="0" w:color="D9D9D9"/>
              <w:right w:val="single" w:sz="6" w:space="0" w:color="D9D9D9"/>
            </w:tcBorders>
            <w:shd w:val="clear" w:color="auto" w:fill="D9EAF7"/>
            <w:noWrap/>
            <w:tcMar>
              <w:top w:w="100" w:type="dxa"/>
              <w:left w:w="120" w:type="dxa"/>
              <w:bottom w:w="100" w:type="dxa"/>
              <w:right w:w="120" w:type="dxa"/>
            </w:tcMar>
            <w:vAlign w:val="center"/>
            <w:hideMark/>
          </w:tcPr>
          <w:p w14:paraId="0AC45714" w14:textId="77777777" w:rsidR="0095229B" w:rsidRDefault="0095229B">
            <w:pPr>
              <w:spacing w:before="160" w:after="240"/>
              <w:jc w:val="right"/>
              <w:rPr>
                <w:rFonts w:ascii="Aptos" w:eastAsia="Times New Roman" w:hAnsi="Aptos"/>
                <w:b/>
                <w:bCs/>
                <w:color w:val="111111"/>
                <w:sz w:val="18"/>
                <w:szCs w:val="18"/>
              </w:rPr>
            </w:pPr>
            <w:r>
              <w:rPr>
                <w:rFonts w:ascii="Aptos" w:eastAsia="Times New Roman" w:hAnsi="Aptos"/>
                <w:b/>
                <w:bCs/>
                <w:color w:val="111111"/>
                <w:sz w:val="15"/>
                <w:szCs w:val="18"/>
              </w:rPr>
              <w:t>$15.696.956</w:t>
            </w:r>
          </w:p>
        </w:tc>
        <w:tc>
          <w:tcPr>
            <w:tcW w:w="0" w:type="auto"/>
            <w:gridSpan w:val="2"/>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hideMark/>
          </w:tcPr>
          <w:p w14:paraId="294D4354" w14:textId="77777777" w:rsidR="0095229B" w:rsidRDefault="0095229B">
            <w:pPr>
              <w:spacing w:before="160" w:after="240"/>
              <w:jc w:val="right"/>
              <w:rPr>
                <w:rFonts w:ascii="Aptos" w:eastAsia="Times New Roman" w:hAnsi="Aptos"/>
                <w:b/>
                <w:bCs/>
                <w:color w:val="111111"/>
                <w:sz w:val="18"/>
                <w:szCs w:val="18"/>
              </w:rPr>
            </w:pPr>
          </w:p>
        </w:tc>
      </w:tr>
    </w:tbl>
    <w:p w14:paraId="2C725E41" w14:textId="77777777" w:rsidR="0095229B" w:rsidRDefault="0095229B">
      <w:pPr>
        <w:pStyle w:val="NormalWeb"/>
        <w:rPr>
          <w:rFonts w:ascii="Aptos" w:hAnsi="Aptos"/>
          <w:color w:val="111111"/>
          <w:sz w:val="21"/>
          <w:szCs w:val="21"/>
          <w:lang w:val="es-ES"/>
        </w:rPr>
      </w:pPr>
      <w:r>
        <w:rPr>
          <w:rFonts w:ascii="Aptos" w:hAnsi="Aptos"/>
          <w:b/>
          <w:bCs/>
          <w:color w:val="111111"/>
          <w:sz w:val="21"/>
          <w:szCs w:val="21"/>
          <w:lang w:val="es-ES"/>
        </w:rPr>
        <w:t>Lectura financiera.</w:t>
      </w:r>
      <w:r>
        <w:rPr>
          <w:rFonts w:ascii="Aptos" w:hAnsi="Aptos"/>
          <w:color w:val="111111"/>
          <w:sz w:val="21"/>
          <w:szCs w:val="21"/>
          <w:lang w:val="es-ES"/>
        </w:rPr>
        <w:t xml:space="preserve"> Híbrida evita un servidor robusto, pero no es una opción “intermedia” en esfuerzo: su RRHH es el más alto por sincronización, seguridad y soporte de dos entornos.</w:t>
      </w:r>
    </w:p>
    <w:p w14:paraId="3A96A421" w14:textId="77777777" w:rsidR="0095229B" w:rsidRDefault="0095229B">
      <w:pPr>
        <w:pStyle w:val="Ttulo2"/>
        <w:rPr>
          <w:rFonts w:ascii="Aptos" w:eastAsia="Times New Roman" w:hAnsi="Aptos"/>
          <w:color w:val="111111"/>
          <w:lang w:val="es-ES"/>
        </w:rPr>
      </w:pPr>
      <w:r>
        <w:rPr>
          <w:rFonts w:ascii="Aptos" w:eastAsia="Times New Roman" w:hAnsi="Aptos"/>
          <w:color w:val="111111"/>
          <w:lang w:val="es-ES"/>
        </w:rPr>
        <w:t>5. D11 Comparación costo beneficio y recomendación</w:t>
      </w:r>
    </w:p>
    <w:tbl>
      <w:tblPr>
        <w:tblW w:w="5000" w:type="pct"/>
        <w:tblCellMar>
          <w:top w:w="15" w:type="dxa"/>
          <w:left w:w="15" w:type="dxa"/>
          <w:bottom w:w="15" w:type="dxa"/>
          <w:right w:w="15" w:type="dxa"/>
        </w:tblCellMar>
        <w:tblLook w:val="04A0" w:firstRow="1" w:lastRow="0" w:firstColumn="1" w:lastColumn="0" w:noHBand="0" w:noVBand="1"/>
      </w:tblPr>
      <w:tblGrid>
        <w:gridCol w:w="1601"/>
        <w:gridCol w:w="2463"/>
        <w:gridCol w:w="2011"/>
        <w:gridCol w:w="2747"/>
      </w:tblGrid>
      <w:tr w:rsidR="00000000" w14:paraId="6FDE3317" w14:textId="77777777">
        <w:trPr>
          <w:tblHeader w:val="true"/>
          <w:cantSplit/>
        </w:trPr>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40234886"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Criterio</w:t>
            </w:r>
          </w:p>
        </w:tc>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24A221E9"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Cloud</w:t>
            </w:r>
          </w:p>
        </w:tc>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7AFBAA54"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Local</w:t>
            </w:r>
          </w:p>
        </w:tc>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23C24BAF"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Híbrida</w:t>
            </w:r>
          </w:p>
        </w:tc>
      </w:tr>
      <w:tr w:rsidR="00000000" w14:paraId="69C6DA3E"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3A5AF43D"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CAPEX estimado</w:t>
            </w:r>
          </w:p>
        </w:tc>
        <w:tc>
          <w:tcPr>
            <w:tcW w:w="0" w:type="auto"/>
            <w:tcBorders>
              <w:top w:val="single" w:sz="6" w:space="0" w:color="D9D9D9"/>
              <w:left w:val="single" w:sz="6" w:space="0" w:color="D9D9D9"/>
              <w:bottom w:val="single" w:sz="6" w:space="0" w:color="D9D9D9"/>
              <w:right w:val="single" w:sz="6" w:space="0" w:color="D9D9D9"/>
            </w:tcBorders>
            <w:noWrap/>
            <w:tcMar>
              <w:top w:w="100" w:type="dxa"/>
              <w:left w:w="120" w:type="dxa"/>
              <w:bottom w:w="100" w:type="dxa"/>
              <w:right w:w="120" w:type="dxa"/>
            </w:tcMar>
            <w:vAlign w:val="center"/>
            <w:hideMark/>
          </w:tcPr>
          <w:p w14:paraId="4E589DCD" w14:textId="77777777" w:rsidR="0095229B" w:rsidRDefault="0095229B">
            <w:pPr>
              <w:spacing w:before="160" w:after="240"/>
              <w:jc w:val="right"/>
              <w:rPr>
                <w:rFonts w:ascii="Aptos" w:eastAsia="Times New Roman" w:hAnsi="Aptos"/>
                <w:color w:val="111111"/>
                <w:sz w:val="18"/>
                <w:szCs w:val="18"/>
              </w:rPr>
            </w:pPr>
            <w:r>
              <w:rPr>
                <w:rFonts w:ascii="Aptos" w:eastAsia="Times New Roman" w:hAnsi="Aptos"/>
                <w:color w:val="111111"/>
                <w:sz w:val="18"/>
                <w:szCs w:val="18"/>
              </w:rPr>
              <w:t>Muy bajo</w:t>
            </w:r>
          </w:p>
        </w:tc>
        <w:tc>
          <w:tcPr>
            <w:tcW w:w="0" w:type="auto"/>
            <w:tcBorders>
              <w:top w:val="single" w:sz="6" w:space="0" w:color="D9D9D9"/>
              <w:left w:val="single" w:sz="6" w:space="0" w:color="D9D9D9"/>
              <w:bottom w:val="single" w:sz="6" w:space="0" w:color="D9D9D9"/>
              <w:right w:val="single" w:sz="6" w:space="0" w:color="D9D9D9"/>
            </w:tcBorders>
            <w:noWrap/>
            <w:tcMar>
              <w:top w:w="100" w:type="dxa"/>
              <w:left w:w="120" w:type="dxa"/>
              <w:bottom w:w="100" w:type="dxa"/>
              <w:right w:w="120" w:type="dxa"/>
            </w:tcMar>
            <w:vAlign w:val="center"/>
            <w:hideMark/>
          </w:tcPr>
          <w:p w14:paraId="38AAB2EA" w14:textId="77777777" w:rsidR="0095229B" w:rsidRDefault="0095229B">
            <w:pPr>
              <w:spacing w:before="160" w:after="240"/>
              <w:jc w:val="right"/>
              <w:rPr>
                <w:rFonts w:ascii="Aptos" w:eastAsia="Times New Roman" w:hAnsi="Aptos"/>
                <w:color w:val="111111"/>
                <w:sz w:val="18"/>
                <w:szCs w:val="18"/>
              </w:rPr>
            </w:pPr>
            <w:r>
              <w:rPr>
                <w:rFonts w:ascii="Aptos" w:eastAsia="Times New Roman" w:hAnsi="Aptos"/>
                <w:color w:val="111111"/>
                <w:sz w:val="18"/>
                <w:szCs w:val="18"/>
              </w:rPr>
              <w:t>Alto</w:t>
            </w:r>
          </w:p>
        </w:tc>
        <w:tc>
          <w:tcPr>
            <w:tcW w:w="0" w:type="auto"/>
            <w:tcBorders>
              <w:top w:val="single" w:sz="6" w:space="0" w:color="D9D9D9"/>
              <w:left w:val="single" w:sz="6" w:space="0" w:color="D9D9D9"/>
              <w:bottom w:val="single" w:sz="6" w:space="0" w:color="D9D9D9"/>
              <w:right w:val="single" w:sz="6" w:space="0" w:color="D9D9D9"/>
            </w:tcBorders>
            <w:noWrap/>
            <w:tcMar>
              <w:top w:w="100" w:type="dxa"/>
              <w:left w:w="120" w:type="dxa"/>
              <w:bottom w:w="100" w:type="dxa"/>
              <w:right w:w="120" w:type="dxa"/>
            </w:tcMar>
            <w:vAlign w:val="center"/>
            <w:hideMark/>
          </w:tcPr>
          <w:p w14:paraId="079E9500" w14:textId="77777777" w:rsidR="0095229B" w:rsidRDefault="0095229B">
            <w:pPr>
              <w:spacing w:before="160" w:after="240"/>
              <w:jc w:val="right"/>
              <w:rPr>
                <w:rFonts w:ascii="Aptos" w:eastAsia="Times New Roman" w:hAnsi="Aptos"/>
                <w:color w:val="111111"/>
                <w:sz w:val="18"/>
                <w:szCs w:val="18"/>
              </w:rPr>
            </w:pPr>
            <w:r>
              <w:rPr>
                <w:rFonts w:ascii="Aptos" w:eastAsia="Times New Roman" w:hAnsi="Aptos"/>
                <w:color w:val="111111"/>
                <w:sz w:val="18"/>
                <w:szCs w:val="18"/>
              </w:rPr>
              <w:t>Medio</w:t>
            </w:r>
          </w:p>
        </w:tc>
      </w:tr>
      <w:tr w:rsidR="00000000" w14:paraId="7A2661BE"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0CAF740A"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TCO base 36 meses</w:t>
            </w:r>
          </w:p>
        </w:tc>
        <w:tc>
          <w:tcPr>
            <w:tcW w:w="0" w:type="auto"/>
            <w:tcBorders>
              <w:top w:val="single" w:sz="6" w:space="0" w:color="D9D9D9"/>
              <w:left w:val="single" w:sz="6" w:space="0" w:color="D9D9D9"/>
              <w:bottom w:val="single" w:sz="6" w:space="0" w:color="D9D9D9"/>
              <w:right w:val="single" w:sz="6" w:space="0" w:color="D9D9D9"/>
            </w:tcBorders>
            <w:noWrap/>
            <w:tcMar>
              <w:top w:w="100" w:type="dxa"/>
              <w:left w:w="120" w:type="dxa"/>
              <w:bottom w:w="100" w:type="dxa"/>
              <w:right w:w="120" w:type="dxa"/>
            </w:tcMar>
            <w:vAlign w:val="center"/>
            <w:hideMark/>
          </w:tcPr>
          <w:p w14:paraId="42034C3F" w14:textId="77777777" w:rsidR="0095229B" w:rsidRDefault="0095229B">
            <w:pPr>
              <w:spacing w:before="160" w:after="240"/>
              <w:jc w:val="right"/>
              <w:rPr>
                <w:rFonts w:ascii="Aptos" w:eastAsia="Times New Roman" w:hAnsi="Aptos"/>
                <w:color w:val="111111"/>
                <w:sz w:val="18"/>
                <w:szCs w:val="18"/>
              </w:rPr>
            </w:pPr>
            <w:r>
              <w:rPr>
                <w:rFonts w:ascii="Aptos" w:eastAsia="Times New Roman" w:hAnsi="Aptos"/>
                <w:b/>
                <w:bCs/>
                <w:color w:val="111111"/>
                <w:sz w:val="18"/>
                <w:szCs w:val="18"/>
              </w:rPr>
              <w:t>$10.815.487</w:t>
            </w:r>
          </w:p>
        </w:tc>
        <w:tc>
          <w:tcPr>
            <w:tcW w:w="0" w:type="auto"/>
            <w:tcBorders>
              <w:top w:val="single" w:sz="6" w:space="0" w:color="D9D9D9"/>
              <w:left w:val="single" w:sz="6" w:space="0" w:color="D9D9D9"/>
              <w:bottom w:val="single" w:sz="6" w:space="0" w:color="D9D9D9"/>
              <w:right w:val="single" w:sz="6" w:space="0" w:color="D9D9D9"/>
            </w:tcBorders>
            <w:noWrap/>
            <w:tcMar>
              <w:top w:w="100" w:type="dxa"/>
              <w:left w:w="120" w:type="dxa"/>
              <w:bottom w:w="100" w:type="dxa"/>
              <w:right w:w="120" w:type="dxa"/>
            </w:tcMar>
            <w:vAlign w:val="center"/>
            <w:hideMark/>
          </w:tcPr>
          <w:p w14:paraId="1390D199" w14:textId="77777777" w:rsidR="0095229B" w:rsidRDefault="0095229B">
            <w:pPr>
              <w:spacing w:before="160" w:after="240"/>
              <w:jc w:val="right"/>
              <w:rPr>
                <w:rFonts w:ascii="Aptos" w:eastAsia="Times New Roman" w:hAnsi="Aptos"/>
                <w:color w:val="111111"/>
                <w:sz w:val="18"/>
                <w:szCs w:val="18"/>
              </w:rPr>
            </w:pPr>
            <w:r>
              <w:rPr>
                <w:rFonts w:ascii="Aptos" w:eastAsia="Times New Roman" w:hAnsi="Aptos"/>
                <w:color w:val="111111"/>
                <w:sz w:val="18"/>
                <w:szCs w:val="18"/>
              </w:rPr>
              <w:t>$16.893.013</w:t>
            </w:r>
          </w:p>
        </w:tc>
        <w:tc>
          <w:tcPr>
            <w:tcW w:w="0" w:type="auto"/>
            <w:tcBorders>
              <w:top w:val="single" w:sz="6" w:space="0" w:color="D9D9D9"/>
              <w:left w:val="single" w:sz="6" w:space="0" w:color="D9D9D9"/>
              <w:bottom w:val="single" w:sz="6" w:space="0" w:color="D9D9D9"/>
              <w:right w:val="single" w:sz="6" w:space="0" w:color="D9D9D9"/>
            </w:tcBorders>
            <w:noWrap/>
            <w:tcMar>
              <w:top w:w="100" w:type="dxa"/>
              <w:left w:w="120" w:type="dxa"/>
              <w:bottom w:w="100" w:type="dxa"/>
              <w:right w:w="120" w:type="dxa"/>
            </w:tcMar>
            <w:vAlign w:val="center"/>
            <w:hideMark/>
          </w:tcPr>
          <w:p w14:paraId="35C5A3B7" w14:textId="77777777" w:rsidR="0095229B" w:rsidRDefault="0095229B">
            <w:pPr>
              <w:spacing w:before="160" w:after="240"/>
              <w:jc w:val="right"/>
              <w:rPr>
                <w:rFonts w:ascii="Aptos" w:eastAsia="Times New Roman" w:hAnsi="Aptos"/>
                <w:color w:val="111111"/>
                <w:sz w:val="18"/>
                <w:szCs w:val="18"/>
              </w:rPr>
            </w:pPr>
            <w:r>
              <w:rPr>
                <w:rFonts w:ascii="Aptos" w:eastAsia="Times New Roman" w:hAnsi="Aptos"/>
                <w:color w:val="111111"/>
                <w:sz w:val="18"/>
                <w:szCs w:val="18"/>
              </w:rPr>
              <w:t>$15.696.956</w:t>
            </w:r>
          </w:p>
        </w:tc>
      </w:tr>
      <w:tr w:rsidR="00000000" w14:paraId="2A5AA4C1"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2D80B40E"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Costo mensual equivalente</w:t>
            </w:r>
          </w:p>
        </w:tc>
        <w:tc>
          <w:tcPr>
            <w:tcW w:w="0" w:type="auto"/>
            <w:tcBorders>
              <w:top w:val="single" w:sz="6" w:space="0" w:color="D9D9D9"/>
              <w:left w:val="single" w:sz="6" w:space="0" w:color="D9D9D9"/>
              <w:bottom w:val="single" w:sz="6" w:space="0" w:color="D9D9D9"/>
              <w:right w:val="single" w:sz="6" w:space="0" w:color="D9D9D9"/>
            </w:tcBorders>
            <w:noWrap/>
            <w:tcMar>
              <w:top w:w="100" w:type="dxa"/>
              <w:left w:w="120" w:type="dxa"/>
              <w:bottom w:w="100" w:type="dxa"/>
              <w:right w:w="120" w:type="dxa"/>
            </w:tcMar>
            <w:vAlign w:val="center"/>
            <w:hideMark/>
          </w:tcPr>
          <w:p w14:paraId="3D8844A5" w14:textId="77777777" w:rsidR="0095229B" w:rsidRDefault="0095229B">
            <w:pPr>
              <w:spacing w:before="160" w:after="240"/>
              <w:jc w:val="right"/>
              <w:rPr>
                <w:rFonts w:ascii="Aptos" w:eastAsia="Times New Roman" w:hAnsi="Aptos"/>
                <w:color w:val="111111"/>
                <w:sz w:val="18"/>
                <w:szCs w:val="18"/>
              </w:rPr>
            </w:pPr>
            <w:r>
              <w:rPr>
                <w:rFonts w:ascii="Aptos" w:eastAsia="Times New Roman" w:hAnsi="Aptos"/>
                <w:color w:val="111111"/>
                <w:sz w:val="18"/>
                <w:szCs w:val="18"/>
              </w:rPr>
              <w:t>$300.430</w:t>
            </w:r>
          </w:p>
        </w:tc>
        <w:tc>
          <w:tcPr>
            <w:tcW w:w="0" w:type="auto"/>
            <w:tcBorders>
              <w:top w:val="single" w:sz="6" w:space="0" w:color="D9D9D9"/>
              <w:left w:val="single" w:sz="6" w:space="0" w:color="D9D9D9"/>
              <w:bottom w:val="single" w:sz="6" w:space="0" w:color="D9D9D9"/>
              <w:right w:val="single" w:sz="6" w:space="0" w:color="D9D9D9"/>
            </w:tcBorders>
            <w:noWrap/>
            <w:tcMar>
              <w:top w:w="100" w:type="dxa"/>
              <w:left w:w="120" w:type="dxa"/>
              <w:bottom w:w="100" w:type="dxa"/>
              <w:right w:w="120" w:type="dxa"/>
            </w:tcMar>
            <w:vAlign w:val="center"/>
            <w:hideMark/>
          </w:tcPr>
          <w:p w14:paraId="2FBE3354" w14:textId="77777777" w:rsidR="0095229B" w:rsidRDefault="0095229B">
            <w:pPr>
              <w:spacing w:before="160" w:after="240"/>
              <w:jc w:val="right"/>
              <w:rPr>
                <w:rFonts w:ascii="Aptos" w:eastAsia="Times New Roman" w:hAnsi="Aptos"/>
                <w:color w:val="111111"/>
                <w:sz w:val="18"/>
                <w:szCs w:val="18"/>
              </w:rPr>
            </w:pPr>
            <w:r>
              <w:rPr>
                <w:rFonts w:ascii="Aptos" w:eastAsia="Times New Roman" w:hAnsi="Aptos"/>
                <w:color w:val="111111"/>
                <w:sz w:val="18"/>
                <w:szCs w:val="18"/>
              </w:rPr>
              <w:t>$469.250</w:t>
            </w:r>
          </w:p>
        </w:tc>
        <w:tc>
          <w:tcPr>
            <w:tcW w:w="0" w:type="auto"/>
            <w:tcBorders>
              <w:top w:val="single" w:sz="6" w:space="0" w:color="D9D9D9"/>
              <w:left w:val="single" w:sz="6" w:space="0" w:color="D9D9D9"/>
              <w:bottom w:val="single" w:sz="6" w:space="0" w:color="D9D9D9"/>
              <w:right w:val="single" w:sz="6" w:space="0" w:color="D9D9D9"/>
            </w:tcBorders>
            <w:noWrap/>
            <w:tcMar>
              <w:top w:w="100" w:type="dxa"/>
              <w:left w:w="120" w:type="dxa"/>
              <w:bottom w:w="100" w:type="dxa"/>
              <w:right w:w="120" w:type="dxa"/>
            </w:tcMar>
            <w:vAlign w:val="center"/>
            <w:hideMark/>
          </w:tcPr>
          <w:p w14:paraId="2EC3D8A3" w14:textId="77777777" w:rsidR="0095229B" w:rsidRDefault="0095229B">
            <w:pPr>
              <w:spacing w:before="160" w:after="240"/>
              <w:jc w:val="right"/>
              <w:rPr>
                <w:rFonts w:ascii="Aptos" w:eastAsia="Times New Roman" w:hAnsi="Aptos"/>
                <w:color w:val="111111"/>
                <w:sz w:val="18"/>
                <w:szCs w:val="18"/>
              </w:rPr>
            </w:pPr>
            <w:r>
              <w:rPr>
                <w:rFonts w:ascii="Aptos" w:eastAsia="Times New Roman" w:hAnsi="Aptos"/>
                <w:color w:val="111111"/>
                <w:sz w:val="18"/>
                <w:szCs w:val="18"/>
              </w:rPr>
              <w:t>$436.027</w:t>
            </w:r>
          </w:p>
        </w:tc>
      </w:tr>
      <w:tr w:rsidR="00000000" w14:paraId="39883496"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726F5B26"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Privacidad y control físico</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3508B53F"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Menor control directo; requiere gobierno contractual y técnico.</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2A1DEFDB"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Mayor control directo dentro del hospital.</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5987605A"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Alto control de identidad; datos analíticos salen pseudonimizados.</w:t>
            </w:r>
          </w:p>
        </w:tc>
      </w:tr>
      <w:tr w:rsidR="00000000" w14:paraId="283E4245"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39563ACE"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Escalabilidad</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3C1AC249"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Alta; pago por uso.</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699C2F00"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Limitada por capacidad comprada.</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27C413F4"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Alta para analítica, con dependencia de integración.</w:t>
            </w:r>
          </w:p>
        </w:tc>
      </w:tr>
      <w:tr w:rsidR="00000000" w14:paraId="72F37DA6"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7781279B"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Carga operacional</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30D95DA5"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Menor infraestructura propia.</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1DEA51FE"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Alta; recae en TI local.</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415848F4"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Alta; operación dual.</w:t>
            </w:r>
          </w:p>
        </w:tc>
      </w:tr>
      <w:tr w:rsidR="00000000" w14:paraId="576CB52E"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02282E50"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Riesgo dominante</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5A8560D8"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Dependencia del proveedor y tratamiento de datos sensibles.</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49E117A3"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Falla local, ransomware, soporte y renovación.</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5B549889"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Sincronización, conectividad y complejidad de seguridad.</w:t>
            </w:r>
          </w:p>
        </w:tc>
      </w:tr>
    </w:tbl>
    <w:p w14:paraId="006F97C2" w14:textId="77777777" w:rsidR="0095229B" w:rsidRDefault="0095229B">
      <w:pPr>
        <w:pStyle w:val="NormalWeb"/>
        <w:rPr>
          <w:rFonts w:ascii="Aptos" w:hAnsi="Aptos"/>
          <w:color w:val="111111"/>
          <w:sz w:val="21"/>
          <w:szCs w:val="21"/>
          <w:lang w:val="es-ES"/>
        </w:rPr>
      </w:pPr>
      <w:r>
        <w:rPr>
          <w:rFonts w:ascii="Aptos" w:hAnsi="Aptos"/>
          <w:b/>
          <w:bCs/>
          <w:color w:val="111111"/>
          <w:sz w:val="21"/>
          <w:szCs w:val="21"/>
          <w:lang w:val="es-ES"/>
        </w:rPr>
        <w:t>Recomendación financiera preliminar: Cloud presenta el menor TCO para el piloto, con un ahorro estimado de $6.077.526 frente a Local (36,0% del TCO Local) y de $4.881.469 frente a Híbrida (31,1% del TCO Híbrido). El ahorro se explica por evitar CAPEX y reducir la operación de infraestructura. Esta conclusión es exclusivamente financiera y no constituye la recomendación integral del proyecto: solo se mantiene si el análisis ético, legal y de riesgos autoriza el tratamiento de datos sensibles en GCP Chile bajo las medidas definidas. Si esa condición no se satisface, Híbrida queda como alternativa financiera de respaldo para evaluación integral, por mantener identidad y registro maestro en el hospital.</w:t>
      </w:r>
    </w:p>
    <w:p w14:paraId="541D8C1F" w14:textId="77777777" w:rsidR="0095229B" w:rsidRDefault="0095229B">
      <w:pPr>
        <w:pStyle w:val="Ttulo2"/>
        <w:rPr>
          <w:rFonts w:ascii="Aptos" w:eastAsia="Times New Roman" w:hAnsi="Aptos"/>
          <w:color w:val="111111"/>
          <w:lang w:val="es-ES"/>
        </w:rPr>
      </w:pPr>
      <w:r>
        <w:rPr>
          <w:rFonts w:ascii="Aptos" w:eastAsia="Times New Roman" w:hAnsi="Aptos"/>
          <w:color w:val="111111"/>
          <w:lang w:val="es-ES"/>
        </w:rPr>
        <w:t>6. Sensibilidad financiera</w:t>
      </w:r>
    </w:p>
    <w:p w14:paraId="0C956645" w14:textId="77777777" w:rsidR="0095229B" w:rsidRDefault="0095229B">
      <w:pPr>
        <w:pStyle w:val="NormalWeb"/>
        <w:rPr>
          <w:rFonts w:ascii="Aptos" w:hAnsi="Aptos"/>
          <w:color w:val="111111"/>
          <w:sz w:val="21"/>
          <w:szCs w:val="21"/>
          <w:lang w:val="es-ES"/>
        </w:rPr>
      </w:pPr>
      <w:r>
        <w:rPr>
          <w:rFonts w:ascii="Aptos" w:hAnsi="Aptos"/>
          <w:color w:val="111111"/>
          <w:sz w:val="21"/>
          <w:szCs w:val="21"/>
          <w:lang w:val="es-ES"/>
        </w:rPr>
        <w:t>La sensibilidad no cambia el alcance de las alternativas; revisa qué ocurre cuando cambia una condición relevante. Los montos son aproximados y se usan para discusión, no como presupuesto definitivo.</w:t>
      </w:r>
    </w:p>
    <w:tbl>
      <w:tblPr>
        <w:tblW w:w="5000" w:type="pct"/>
        <w:tblCellMar>
          <w:top w:w="15" w:type="dxa"/>
          <w:left w:w="15" w:type="dxa"/>
          <w:bottom w:w="15" w:type="dxa"/>
          <w:right w:w="15" w:type="dxa"/>
        </w:tblCellMar>
        <w:tblLook w:val="04A0" w:firstRow="1" w:lastRow="0" w:firstColumn="1" w:lastColumn="0" w:noHBand="0" w:noVBand="1"/>
      </w:tblPr>
      <w:tblGrid>
        <w:gridCol w:w="2354"/>
        <w:gridCol w:w="1189"/>
        <w:gridCol w:w="1342"/>
        <w:gridCol w:w="1184"/>
        <w:gridCol w:w="2753"/>
      </w:tblGrid>
      <w:tr w:rsidR="00000000" w14:paraId="3521E17C" w14:textId="77777777">
        <w:trPr>
          <w:tblHeader w:val="true"/>
          <w:cantSplit/>
        </w:trPr>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5A811E4F"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Escenario</w:t>
            </w:r>
          </w:p>
        </w:tc>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2674B436"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Impacto Cloud</w:t>
            </w:r>
          </w:p>
        </w:tc>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66324A97"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Impacto Local</w:t>
            </w:r>
          </w:p>
        </w:tc>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32646DEE"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Impacto Híbrida</w:t>
            </w:r>
          </w:p>
        </w:tc>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51DA0C97"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Conclusión</w:t>
            </w:r>
          </w:p>
        </w:tc>
      </w:tr>
      <w:tr w:rsidR="00000000" w14:paraId="7C040612"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6FD429B6"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Tipo de cambio +15%</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395118E3"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 $234 mil</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77349A59"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Sin efecto relevante</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38123906"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 $162 mil</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2E227C37"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Cloud sigue siendo menor costo; vigilar gasto en USD.</w:t>
            </w:r>
          </w:p>
        </w:tc>
      </w:tr>
      <w:tr w:rsidR="00000000" w14:paraId="40E201CE"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4169D44E"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4 reentrenamientos/año</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1402803E"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 $434 mil</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3EFE7E13"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 $384 mil</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4437778B"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 $530 mil</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1EF1E4C4"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El mayor efecto proviene de RRHH y validación, no del cómputo.</w:t>
            </w:r>
          </w:p>
        </w:tc>
      </w:tr>
      <w:tr w:rsidR="00000000" w14:paraId="759A7AEE"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396C0411"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Usuarios crecen 50% sobre el plan</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7FE4DDE8"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 $291 mil</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0A221667"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 $180 mil</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58C2307A"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 $350 mil</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2CCAA7F7"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Cloud absorbe mejor la demanda sin recambio físico inmediato.</w:t>
            </w:r>
          </w:p>
        </w:tc>
      </w:tr>
      <w:tr w:rsidR="00000000" w14:paraId="01FD4244"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426AF240"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Falla de hardware local</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1BDC4969"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Sin efecto directo</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6CF8F18C"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 $1,2 a $2,0 millones</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25576EBD"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 $500 a $900 mil</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26400B46"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Local requiere reserva para reparación o reemplazo.</w:t>
            </w:r>
          </w:p>
        </w:tc>
      </w:tr>
    </w:tbl>
    <w:p w14:paraId="6BE3E944" w14:textId="77777777" w:rsidR="0095229B" w:rsidRDefault="0095229B">
      <w:pPr>
        <w:pStyle w:val="Ttulo2"/>
        <w:rPr>
          <w:rFonts w:ascii="Aptos" w:eastAsia="Times New Roman" w:hAnsi="Aptos"/>
          <w:color w:val="111111"/>
          <w:lang w:val="es-ES"/>
        </w:rPr>
      </w:pPr>
      <w:r>
        <w:rPr>
          <w:rFonts w:ascii="Aptos" w:eastAsia="Times New Roman" w:hAnsi="Aptos"/>
          <w:color w:val="111111"/>
          <w:lang w:val="es-ES"/>
        </w:rPr>
        <w:t>7. Riesgos financieros que deben pasar a la matriz de Vicente</w:t>
      </w:r>
    </w:p>
    <w:tbl>
      <w:tblPr>
        <w:tblW w:w="5000" w:type="pct"/>
        <w:tblCellMar>
          <w:top w:w="15" w:type="dxa"/>
          <w:left w:w="15" w:type="dxa"/>
          <w:bottom w:w="15" w:type="dxa"/>
          <w:right w:w="15" w:type="dxa"/>
        </w:tblCellMar>
        <w:tblLook w:val="04A0" w:firstRow="1" w:lastRow="0" w:firstColumn="1" w:lastColumn="0" w:noHBand="0" w:noVBand="1"/>
      </w:tblPr>
      <w:tblGrid>
        <w:gridCol w:w="1799"/>
        <w:gridCol w:w="1203"/>
        <w:gridCol w:w="2198"/>
        <w:gridCol w:w="3622"/>
      </w:tblGrid>
      <w:tr w:rsidR="00000000" w14:paraId="1AAD9A33" w14:textId="77777777">
        <w:trPr>
          <w:tblHeader w:val="true"/>
          <w:cantSplit/>
        </w:trPr>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2178C93F"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Riesgo</w:t>
            </w:r>
          </w:p>
        </w:tc>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31CD43E3"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Alternativa</w:t>
            </w:r>
          </w:p>
        </w:tc>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2AB238AD"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Efecto económico</w:t>
            </w:r>
          </w:p>
        </w:tc>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12351D31"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Medida de control</w:t>
            </w:r>
          </w:p>
        </w:tc>
      </w:tr>
      <w:tr w:rsidR="00000000" w14:paraId="2FC5E437"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11014F40"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Variación USD/CLP y consumo cloud</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7A4A10FB"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Cloud / Híbrida</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067A5902"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Alza de OPEX y desvío presupuestario.</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1EB563E4"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Presupuesto con contingencia, alertas de gasto, límites y revisión mensual.</w:t>
            </w:r>
          </w:p>
        </w:tc>
      </w:tr>
      <w:tr w:rsidR="00000000" w14:paraId="70A9B898"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55D0E945"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Proveedor o servicio no previsto</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4A91ED5C"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Cloud / Híbrida</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5B4BAE79"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Costos por egress, logs o servicios administrados.</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01713FD0"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Etiquetado de costos, presupuesto por servicio y aprobación antes de activar servicios nuevos.</w:t>
            </w:r>
          </w:p>
        </w:tc>
      </w:tr>
      <w:tr w:rsidR="00000000" w14:paraId="1B63415B"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3A1B9B9A"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Falla o renovación de hardware</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502D360A"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Local / Híbrida</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717F0854"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CAPEX no planificado y posible indisponibilidad.</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316F7188"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Inventario, garantía, prueba de restauración y reserva de contingencia.</w:t>
            </w:r>
          </w:p>
        </w:tc>
      </w:tr>
      <w:tr w:rsidR="00000000" w14:paraId="36660FF0"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49CEF675"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Subestimación de horas</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23D1BB66"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Todas</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400F0A2D"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Es el principal riesgo, porque RRHH concentra el TCO.</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1C063D30"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Fabián debe validar horas en EDT/Gantt y registrar cambios de alcance.</w:t>
            </w:r>
          </w:p>
        </w:tc>
      </w:tr>
      <w:tr w:rsidR="00000000" w14:paraId="2DE69CFC"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047E3831"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Tratamiento tributario distinto</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793E66A5"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Cloud / Híbrida</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69F4C6A5"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IVA mayor o menor al provisionado.</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6E7587C6"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Validar con administración/contabilidad antes de contratar.</w:t>
            </w:r>
          </w:p>
        </w:tc>
      </w:tr>
      <w:tr w:rsidR="00000000" w14:paraId="42D7682B"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03213250"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Integración más compleja</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2B93D478"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Híbrida</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614ADC48"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Horas adicionales y retrasos.</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0FF19B17"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Prueba temprana de sincronización y responsable técnico único.</w:t>
            </w:r>
          </w:p>
        </w:tc>
      </w:tr>
    </w:tbl>
    <w:p w14:paraId="5CC416E8" w14:textId="77777777" w:rsidR="0095229B" w:rsidRDefault="0095229B">
      <w:pPr>
        <w:pStyle w:val="Ttulo2"/>
        <w:rPr>
          <w:rFonts w:ascii="Aptos" w:eastAsia="Times New Roman" w:hAnsi="Aptos"/>
          <w:color w:val="111111"/>
          <w:lang w:val="es-ES"/>
        </w:rPr>
      </w:pPr>
      <w:r>
        <w:rPr>
          <w:rFonts w:ascii="Aptos" w:eastAsia="Times New Roman" w:hAnsi="Aptos"/>
          <w:color w:val="111111"/>
          <w:lang w:val="es-ES"/>
        </w:rPr>
        <w:t>8. Handoff para Fabián Leal</w:t>
      </w:r>
    </w:p>
    <w:p w14:paraId="69AFA196" w14:textId="77777777" w:rsidR="0095229B" w:rsidRDefault="0095229B">
      <w:pPr>
        <w:pStyle w:val="NormalWeb"/>
        <w:rPr>
          <w:rFonts w:ascii="Aptos" w:hAnsi="Aptos"/>
          <w:color w:val="111111"/>
          <w:sz w:val="21"/>
          <w:szCs w:val="21"/>
          <w:lang w:val="es-ES"/>
        </w:rPr>
      </w:pPr>
      <w:r>
        <w:rPr>
          <w:rFonts w:ascii="Aptos" w:hAnsi="Aptos"/>
          <w:color w:val="111111"/>
          <w:sz w:val="21"/>
          <w:szCs w:val="21"/>
          <w:lang w:val="es-ES"/>
        </w:rPr>
        <w:t>Fabián puede continuar EDT y Carta Gantt usando esta sección como línea base. No debe cambiar el horizonte de 36 meses ni mezclarlo con el cronograma de implementación. El cronograma puede ser más corto, pero debe incluir las tareas que generan costos y las seis ventanas de mantenimiento del modelo.</w:t>
      </w:r>
    </w:p>
    <w:tbl>
      <w:tblPr>
        <w:tblW w:w="5000" w:type="pct"/>
        <w:tblCellMar>
          <w:top w:w="15" w:type="dxa"/>
          <w:left w:w="15" w:type="dxa"/>
          <w:bottom w:w="15" w:type="dxa"/>
          <w:right w:w="15" w:type="dxa"/>
        </w:tblCellMar>
        <w:tblLook w:val="04A0" w:firstRow="1" w:lastRow="0" w:firstColumn="1" w:lastColumn="0" w:noHBand="0" w:noVBand="1"/>
      </w:tblPr>
      <w:tblGrid>
        <w:gridCol w:w="1925"/>
        <w:gridCol w:w="3688"/>
        <w:gridCol w:w="3209"/>
      </w:tblGrid>
      <w:tr w:rsidR="00000000" w14:paraId="6FC0A704" w14:textId="77777777">
        <w:trPr>
          <w:tblHeader w:val="true"/>
          <w:cantSplit/>
        </w:trPr>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11D6F97F"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Elemento que debe incorporar Fabián</w:t>
            </w:r>
          </w:p>
        </w:tc>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7F2E363B"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Decisión cerrada</w:t>
            </w:r>
          </w:p>
        </w:tc>
        <w:tc>
          <w:tcPr>
            <w:tcW w:w="0" w:type="auto"/>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hideMark/>
          </w:tcPr>
          <w:p w14:paraId="2AE35F02" w14:textId="77777777" w:rsidR="0095229B" w:rsidRDefault="0095229B">
            <w:pPr>
              <w:spacing w:before="160" w:after="240"/>
              <w:rPr>
                <w:rFonts w:ascii="Aptos" w:eastAsia="Times New Roman" w:hAnsi="Aptos"/>
                <w:b/>
                <w:bCs/>
                <w:color w:val="FFFFFF"/>
                <w:sz w:val="18"/>
                <w:szCs w:val="18"/>
              </w:rPr>
            </w:pPr>
            <w:r>
              <w:rPr>
                <w:rFonts w:ascii="Aptos" w:eastAsia="Times New Roman" w:hAnsi="Aptos"/>
                <w:b/>
                <w:bCs/>
                <w:color w:val="FFFFFF"/>
                <w:sz w:val="18"/>
                <w:szCs w:val="18"/>
              </w:rPr>
              <w:t>Uso en planificación</w:t>
            </w:r>
          </w:p>
        </w:tc>
      </w:tr>
      <w:tr w:rsidR="00000000" w14:paraId="121B7A89"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4CD435BF"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Implementación inicial</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041EAC71"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Configuración, seguridad, base de datos, despliegue, pruebas y documentación.</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27CA2C8A"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Crear entregables con responsables Data/ML, Desarrollo, Seguridad y operación específica.</w:t>
            </w:r>
          </w:p>
        </w:tc>
      </w:tr>
      <w:tr w:rsidR="00000000" w14:paraId="0B5A3BA5"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4338896D"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Continuidad</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6AFCE227"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Backups diarios, copia completa semanal, retención 30 días, prueba mensual, RTO 8 h y RPO 24 h.</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027CDDEB"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Incluir tareas recurrentes y criterio de aceptación de restauración.</w:t>
            </w:r>
          </w:p>
        </w:tc>
      </w:tr>
      <w:tr w:rsidR="00000000" w14:paraId="5174FB6A"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1FAED00F"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Mantenimiento del modelo</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107092E1"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6 ventanas en 36 meses: preparación, reentrenamiento, validación técnica, revisión por subgrupos, explicabilidad y aprobación.</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49BF7840"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Planificar los ciclos; no publicar automáticamente un modelo reentrenado.</w:t>
            </w:r>
          </w:p>
        </w:tc>
      </w:tr>
      <w:tr w:rsidR="00000000" w14:paraId="15E59ABD"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0FDDF0AC"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Horas financieras</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50669DD2"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Data/ML 220 h; Desarrollo 120 h; Seguridad 72 h; más Cloud/DevOps 120 h, SysAdmin 300 h o Integración/DevOps 280 h. Totales: Cloud 532 h; Local 712 h; Híbrida 692 h.</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0BC168FE"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Validar y ajustar en Gantt. Si cambian, informar a Ignacio para recalcular el TCO.</w:t>
            </w:r>
          </w:p>
        </w:tc>
      </w:tr>
      <w:tr w:rsidR="00000000" w14:paraId="619DE83F" w14:textId="77777777">
        <w:trPr>
          <w:cantSplit/>
        </w:trPr>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246DFC8F"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Escenario recomendado</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2A7EC0C2"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Cloud, condicionado a aprobación ética/legal para datos sensibles en GCP Chile.</w:t>
            </w:r>
          </w:p>
        </w:tc>
        <w:tc>
          <w:tcPr>
            <w:tcW w:w="0" w:type="auto"/>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hideMark/>
          </w:tcPr>
          <w:p w14:paraId="5BB59EE7" w14:textId="77777777" w:rsidR="0095229B" w:rsidRDefault="0095229B">
            <w:pPr>
              <w:spacing w:before="160" w:after="240"/>
              <w:rPr>
                <w:rFonts w:ascii="Aptos" w:eastAsia="Times New Roman" w:hAnsi="Aptos"/>
                <w:color w:val="111111"/>
                <w:sz w:val="18"/>
                <w:szCs w:val="18"/>
              </w:rPr>
            </w:pPr>
            <w:r>
              <w:rPr>
                <w:rFonts w:ascii="Aptos" w:eastAsia="Times New Roman" w:hAnsi="Aptos"/>
                <w:color w:val="111111"/>
                <w:sz w:val="18"/>
                <w:szCs w:val="18"/>
              </w:rPr>
              <w:t>Plan base Cloud; mantener Híbrida como alternativa si se exige mantener identidad y registro maestro local.</w:t>
            </w:r>
          </w:p>
        </w:tc>
      </w:tr>
    </w:tbl>
    <w:p w14:paraId="01E39B0C" w14:textId="77777777" w:rsidR="0095229B" w:rsidRDefault="0095229B">
      <w:pPr>
        <w:pStyle w:val="NormalWeb"/>
        <w:rPr>
          <w:rFonts w:ascii="Aptos" w:hAnsi="Aptos"/>
          <w:color w:val="111111"/>
          <w:sz w:val="21"/>
          <w:szCs w:val="21"/>
          <w:lang w:val="es-ES"/>
        </w:rPr>
      </w:pPr>
      <w:r>
        <w:rPr>
          <w:rFonts w:ascii="Aptos" w:hAnsi="Aptos"/>
          <w:b/>
          <w:bCs/>
          <w:color w:val="111111"/>
          <w:sz w:val="21"/>
          <w:szCs w:val="21"/>
          <w:lang w:val="es-ES"/>
        </w:rPr>
        <w:t>Regla de integración:</w:t>
      </w:r>
      <w:r>
        <w:rPr>
          <w:rFonts w:ascii="Aptos" w:hAnsi="Aptos"/>
          <w:color w:val="111111"/>
          <w:sz w:val="21"/>
          <w:szCs w:val="21"/>
          <w:lang w:val="es-ES"/>
        </w:rPr>
        <w:t xml:space="preserve"> </w:t>
      </w:r>
      <w:r>
        <w:rPr>
          <w:rFonts w:ascii="Aptos" w:hAnsi="Aptos"/>
          <w:color w:val="111111"/>
          <w:sz w:val="21"/>
          <w:szCs w:val="21"/>
          <w:lang w:val="es-ES"/>
        </w:rPr>
        <w:t>cualquier cambio en usuarios, frecuencia de reentrenamiento, RTO/RPO, servicios GCP, arquitectura o dedicación de roles afecta Finanzas. Fabián debe comunicarlo antes de cerrar la versión final; con los supuestos de este documento puede continuar sin pedir una definición adicional.</w:t>
      </w:r>
    </w:p>
    <w:p w14:paraId="13BFCCE4" w14:textId="77777777" w:rsidR="0095229B" w:rsidRDefault="0095229B">
      <w:pPr>
        <w:pStyle w:val="Ttulo2"/>
        <w:rPr>
          <w:rFonts w:ascii="Aptos" w:eastAsia="Times New Roman" w:hAnsi="Aptos"/>
          <w:color w:val="111111"/>
          <w:lang w:val="es-ES"/>
        </w:rPr>
      </w:pPr>
      <w:r>
        <w:rPr>
          <w:rFonts w:ascii="Aptos" w:eastAsia="Times New Roman" w:hAnsi="Aptos"/>
          <w:color w:val="111111"/>
          <w:lang w:val="es-ES"/>
        </w:rPr>
        <w:t>9. Referencias y trazabilidad</w:t>
      </w:r>
    </w:p>
    <w:p w14:paraId="4023FCC7" w14:textId="77777777" w:rsidR="0095229B" w:rsidRDefault="0095229B">
      <w:pPr>
        <w:pStyle w:val="small"/>
        <w:spacing w:before="0" w:beforeAutospacing="0" w:after="140"/>
        <w:rPr>
          <w:rFonts w:ascii="Aptos" w:hAnsi="Aptos"/>
          <w:color w:val="111111"/>
          <w:lang w:val="es-ES"/>
        </w:rPr>
      </w:pPr>
      <w:r>
        <w:rPr>
          <w:rFonts w:ascii="Aptos" w:hAnsi="Aptos"/>
          <w:color w:val="111111"/>
          <w:lang w:val="es-ES"/>
        </w:rPr>
        <w:t xml:space="preserve">Equipo de proyecto. (2026). </w:t>
      </w:r>
      <w:r>
        <w:rPr>
          <w:rFonts w:ascii="Aptos" w:hAnsi="Aptos"/>
          <w:i/>
          <w:iCs/>
          <w:color w:val="111111"/>
          <w:lang w:val="es-ES"/>
        </w:rPr>
        <w:t>Plan Maestro del Encargo Heart Disease Dataset equipo de 5</w:t>
      </w:r>
      <w:r>
        <w:rPr>
          <w:rFonts w:ascii="Aptos" w:hAnsi="Aptos"/>
          <w:color w:val="111111"/>
          <w:lang w:val="es-ES"/>
        </w:rPr>
        <w:t xml:space="preserve"> [Documento interno].</w:t>
      </w:r>
    </w:p>
    <w:p w14:paraId="3FA546BE" w14:textId="77777777" w:rsidR="0095229B" w:rsidRDefault="0095229B">
      <w:pPr>
        <w:pStyle w:val="small"/>
        <w:spacing w:before="0" w:beforeAutospacing="0" w:after="140"/>
        <w:rPr>
          <w:rFonts w:ascii="Aptos" w:hAnsi="Aptos"/>
          <w:color w:val="111111"/>
          <w:lang w:val="es-ES"/>
        </w:rPr>
      </w:pPr>
      <w:r>
        <w:rPr>
          <w:rFonts w:ascii="Aptos" w:hAnsi="Aptos"/>
          <w:color w:val="111111"/>
          <w:lang w:val="es-ES"/>
        </w:rPr>
        <w:t xml:space="preserve">Lucas. (2026). </w:t>
      </w:r>
      <w:r>
        <w:rPr>
          <w:rFonts w:ascii="Aptos" w:hAnsi="Aptos"/>
          <w:i/>
          <w:iCs/>
          <w:color w:val="111111"/>
          <w:lang w:val="es-ES"/>
        </w:rPr>
        <w:t>Informe Maestro D1 a D6 Heart Disease</w:t>
      </w:r>
      <w:r>
        <w:rPr>
          <w:rFonts w:ascii="Aptos" w:hAnsi="Aptos"/>
          <w:color w:val="111111"/>
          <w:lang w:val="es-ES"/>
        </w:rPr>
        <w:t xml:space="preserve"> </w:t>
      </w:r>
      <w:r>
        <w:rPr>
          <w:rFonts w:ascii="Aptos" w:hAnsi="Aptos"/>
          <w:color w:val="111111"/>
          <w:lang w:val="es-ES"/>
        </w:rPr>
        <w:t>[Documento interno]. Base de arquitectura, alcance y supuestos comunes.</w:t>
      </w:r>
    </w:p>
    <w:p w14:paraId="4297C8CE" w14:textId="77777777" w:rsidR="0095229B" w:rsidRDefault="0095229B">
      <w:pPr>
        <w:pStyle w:val="small"/>
        <w:spacing w:before="0" w:beforeAutospacing="0" w:after="140"/>
        <w:rPr>
          <w:rFonts w:ascii="Aptos" w:hAnsi="Aptos"/>
          <w:color w:val="111111"/>
          <w:lang w:val="es-ES"/>
        </w:rPr>
      </w:pPr>
      <w:r>
        <w:rPr>
          <w:rFonts w:ascii="Aptos" w:hAnsi="Aptos"/>
          <w:color w:val="111111"/>
          <w:lang w:val="es-ES"/>
        </w:rPr>
        <w:t>Google Cloud. (2026). Cloud Run pricing (https://cloud.google.com/run/pricing); Cloud SQL pricing (https://cloud.google.com/sql/pricing); Cloud Storage pricing (https://cloud.google.com/storage/pricing); Google Cloud Observability pricing (https://cloud.google.com/products/observability/pricing). Tarifarios públicos consultados el 10 de septiembre de 2026. Los montos del informe son bolsas presupuestarias de planificación convertidas con $930 CLP/USD; antes de contratar se debe adjuntar una exportación fechada de Google Cloud Pricing Calculator con región y configuración.</w:t>
      </w:r>
    </w:p>
    <w:p w14:paraId="53FF623F" w14:textId="77777777" w:rsidR="0095229B" w:rsidRDefault="0095229B">
      <w:pPr>
        <w:pStyle w:val="small"/>
        <w:spacing w:before="0" w:beforeAutospacing="0" w:after="140"/>
        <w:rPr>
          <w:rFonts w:ascii="Aptos" w:hAnsi="Aptos"/>
          <w:color w:val="111111"/>
          <w:lang w:val="es-ES"/>
        </w:rPr>
      </w:pPr>
      <w:r>
        <w:rPr>
          <w:rFonts w:ascii="Aptos" w:hAnsi="Aptos"/>
          <w:color w:val="111111"/>
          <w:lang w:val="es-ES"/>
        </w:rPr>
        <w:t>Google Cloud. (2026). Chile tax requirements. Para planificación, los servicios GCP se tratan como valores netos y se agrega 19% de IVA únicamente sobre la base cloud identificada; RRHH, contingencia y hardware no forman parte de esa base.</w:t>
      </w:r>
    </w:p>
    <w:p w14:paraId="0768FBCF" w14:textId="77777777" w:rsidR="0095229B" w:rsidRDefault="0095229B">
      <w:pPr>
        <w:pStyle w:val="small"/>
        <w:spacing w:before="0" w:beforeAutospacing="0" w:after="140"/>
        <w:rPr>
          <w:rFonts w:ascii="Aptos" w:hAnsi="Aptos"/>
          <w:color w:val="111111"/>
          <w:lang w:val="es-ES"/>
        </w:rPr>
      </w:pPr>
      <w:r>
        <w:rPr>
          <w:rFonts w:ascii="Aptos" w:hAnsi="Aptos"/>
          <w:color w:val="111111"/>
          <w:lang w:val="es-ES"/>
        </w:rPr>
        <w:t>Referencias de hardware pendientes de respaldo documental. El archivo fuente identifica Dell PowerEdge T160, Kingston DC600M 960 GB, APC Smart UPS C 1500 VA, WD Elements 2 TB y Dell OptiPlex 7020 MFF, pero no contiene proveedor, URL, número de cotización ni fecha individual verificable. Antes de integrar el informe final se debe registrar para cada partida proveedor, enlace o cotización, fecha, especificación comparable y precio con/sin IVA; hasta entonces los montos se mantienen como supuestos referenciales no vinculantes.</w:t>
      </w:r>
    </w:p>
    <w:p w14:paraId="6190DD68" w14:textId="77777777" w:rsidR="0095229B" w:rsidRDefault="0095229B">
      <w:pPr>
        <w:pStyle w:val="small"/>
        <w:spacing w:before="0" w:beforeAutospacing="0" w:after="140"/>
        <w:rPr>
          <w:rFonts w:ascii="Aptos" w:hAnsi="Aptos"/>
          <w:color w:val="111111"/>
          <w:lang w:val="es-ES"/>
        </w:rPr>
      </w:pPr>
      <w:r>
        <w:rPr>
          <w:rFonts w:ascii="Aptos" w:hAnsi="Aptos"/>
          <w:color w:val="111111"/>
          <w:lang w:val="es-ES"/>
        </w:rPr>
        <w:t>Nota de trazabilidad: las cifras GCP quedan reproducibles mediante consumo presupuestario equivalente, período, tipo de cambio y fórmula; no sustituyen una cotización del proveedor. Los precios de hardware permanecen como referencias pendientes de evidencia específica. Las tarifas/hora, contingencia y provisiones operacionales son supuestos explícitos; los supuestos funcionales y operacionales provienen del Informe Maestro de Lucas.</w:t>
      </w:r>
    </w:p>
    <w:sectPr w:rsidR="0095229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6104E"/>
    <w:rsid w:val="0095229B"/>
    <w:rsid w:val="0096104E"/>
    <w:rsid w:val="00FA340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FC62FB"/>
  <w15:chartTrackingRefBased/>
  <w15:docId w15:val="{B0579607-CFAD-430E-9872-89EB88154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after="60"/>
      <w:outlineLvl w:val="0"/>
    </w:pPr>
    <w:rPr>
      <w:b/>
      <w:bCs/>
      <w:kern w:val="36"/>
      <w:sz w:val="42"/>
      <w:szCs w:val="42"/>
    </w:rPr>
  </w:style>
  <w:style w:type="paragraph" w:styleId="Ttulo2">
    <w:name w:val="heading 2"/>
    <w:basedOn w:val="Normal"/>
    <w:link w:val="Ttulo2Car"/>
    <w:uiPriority w:val="9"/>
    <w:qFormat/>
    <w:pPr>
      <w:keepNext/>
      <w:spacing w:before="400" w:after="140"/>
      <w:outlineLvl w:val="1"/>
    </w:pPr>
    <w:rPr>
      <w:b/>
      <w:bCs/>
      <w:sz w:val="28"/>
      <w:szCs w:val="28"/>
    </w:rPr>
  </w:style>
  <w:style w:type="paragraph" w:styleId="Ttulo3">
    <w:name w:val="heading 3"/>
    <w:basedOn w:val="Normal"/>
    <w:link w:val="Ttulo3Car"/>
    <w:uiPriority w:val="9"/>
    <w:qFormat/>
    <w:pPr>
      <w:keepNext/>
      <w:spacing w:before="280" w:after="100"/>
      <w:outlineLvl w:val="2"/>
    </w:pPr>
    <w:rPr>
      <w:b/>
      <w:bCs/>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40"/>
    </w:pPr>
  </w:style>
  <w:style w:type="paragraph" w:styleId="NormalWeb">
    <w:name w:val="Normal (Web)"/>
    <w:basedOn w:val="Normal"/>
    <w:uiPriority w:val="99"/>
    <w:semiHidden/>
    <w:unhideWhenUsed/>
    <w:pPr>
      <w:spacing w:after="140"/>
    </w:pPr>
  </w:style>
  <w:style w:type="paragraph" w:customStyle="1" w:styleId="subtitle">
    <w:name w:val="subtitle"/>
    <w:basedOn w:val="Normal"/>
    <w:pPr>
      <w:spacing w:before="100" w:beforeAutospacing="1" w:after="320"/>
    </w:pPr>
  </w:style>
  <w:style w:type="paragraph" w:customStyle="1" w:styleId="muted">
    <w:name w:val="muted"/>
    <w:basedOn w:val="Normal"/>
    <w:pPr>
      <w:spacing w:before="100" w:beforeAutospacing="1" w:after="60"/>
    </w:pPr>
    <w:rPr>
      <w:color w:val="444444"/>
    </w:rPr>
  </w:style>
  <w:style w:type="paragraph" w:customStyle="1" w:styleId="num">
    <w:name w:val="num"/>
    <w:basedOn w:val="Normal"/>
    <w:pPr>
      <w:spacing w:before="100" w:beforeAutospacing="1" w:after="60"/>
      <w:jc w:val="right"/>
    </w:pPr>
  </w:style>
  <w:style w:type="paragraph" w:customStyle="1" w:styleId="center">
    <w:name w:val="center"/>
    <w:basedOn w:val="Normal"/>
    <w:pPr>
      <w:spacing w:before="100" w:beforeAutospacing="1" w:after="60"/>
      <w:jc w:val="center"/>
    </w:pPr>
  </w:style>
  <w:style w:type="paragraph" w:customStyle="1" w:styleId="small">
    <w:name w:val="small"/>
    <w:basedOn w:val="Normal"/>
    <w:pPr>
      <w:spacing w:before="100" w:beforeAutospacing="1" w:after="60"/>
    </w:pPr>
    <w:rPr>
      <w:sz w:val="17"/>
      <w:szCs w:val="17"/>
    </w:rPr>
  </w:style>
  <w:style w:type="paragraph" w:customStyle="1" w:styleId="pagebreak">
    <w:name w:val="pagebreak"/>
    <w:basedOn w:val="Normal"/>
    <w:pPr>
      <w:pageBreakBefore/>
      <w:spacing w:before="100" w:beforeAutospacing="1" w:after="60"/>
    </w:pPr>
  </w:style>
  <w:style w:type="paragraph" w:customStyle="1" w:styleId="formula">
    <w:name w:val="formula"/>
    <w:basedOn w:val="Normal"/>
    <w:pPr>
      <w:spacing w:before="200" w:after="200"/>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2145</Words>
  <Characters>11803</Characters>
  <Application>Microsoft Office Word</Application>
  <DocSecurity>0</DocSecurity>
  <Lines>98</Lines>
  <Paragraphs>27</Paragraphs>
  <ScaleCrop>false</ScaleCrop>
  <Company/>
  <LinksUpToDate>false</LinksUpToDate>
  <CharactersWithSpaces>13921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ANDRES SILVA CARVAJAL</dc:creator>
  <cp:keywords/>
  <dc:description/>
  <cp:lastModifiedBy>IGNACIO ANDRES SILVA CARVAJAL</cp:lastModifiedBy>
  <cp:revision>2</cp:revision>
  <dcterms:created xsi:type="dcterms:W3CDTF">2026-09-10T04:50:00Z</dcterms:created>
  <dcterms:modified xsi:type="dcterms:W3CDTF">2026-09-10T04:50:00Z</dcterms:modified>
</cp:coreProperties>
</file>