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lineRule="auto"/>
        <w:rPr>
          <w:rFonts w:ascii="Arial" w:cs="Arial" w:eastAsia="Arial" w:hAnsi="Arial"/>
          <w:color w:val="2c3e50"/>
        </w:rPr>
      </w:pPr>
      <w:r w:rsidDel="00000000" w:rsidR="00000000" w:rsidRPr="00000000">
        <w:rPr>
          <w:rFonts w:ascii="Arial" w:cs="Arial" w:eastAsia="Arial" w:hAnsi="Arial"/>
          <w:color w:val="2c3e50"/>
          <w:rtl w:val="0"/>
        </w:rPr>
        <w:t xml:space="preserve">Matriz de Riesgos, Priorización y Mitigaciones - Vicente Hormazábal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Este documento consolida los riesgos extraídos de las planificaciones técnicas, financieras y de proyecto (Entregables D7 a D14), ajustados a la escala de probabilidad e impacto (1 a 3) exigida en el Plan Maestro.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rFonts w:ascii="Arial" w:cs="Arial" w:eastAsia="Arial" w:hAnsi="Arial"/>
          <w:color w:val="34495e"/>
        </w:rPr>
      </w:pPr>
      <w:r w:rsidDel="00000000" w:rsidR="00000000" w:rsidRPr="00000000">
        <w:rPr>
          <w:rFonts w:ascii="Arial" w:cs="Arial" w:eastAsia="Arial" w:hAnsi="Arial"/>
          <w:color w:val="34495e"/>
          <w:rtl w:val="0"/>
        </w:rPr>
        <w:t xml:space="preserve">1. Matriz de Riesgos Priorizada</w:t>
      </w:r>
    </w:p>
    <w:tbl>
      <w:tblPr>
        <w:tblStyle w:val="Table1"/>
        <w:tblW w:w="9360.0" w:type="dxa"/>
        <w:jc w:val="left"/>
        <w:tblBorders>
          <w:top w:color="bdc3c7" w:space="0" w:sz="6" w:val="single"/>
          <w:left w:color="bdc3c7" w:space="0" w:sz="6" w:val="single"/>
          <w:bottom w:color="bdc3c7" w:space="0" w:sz="6" w:val="single"/>
          <w:right w:color="bdc3c7" w:space="0" w:sz="6" w:val="single"/>
          <w:insideH w:color="bdc3c7" w:space="0" w:sz="6" w:val="single"/>
          <w:insideV w:color="bdc3c7" w:space="0" w:sz="6" w:val="single"/>
        </w:tblBorders>
        <w:tblLayout w:type="fixed"/>
        <w:tblLook w:val="0600"/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  <w:tblGridChange w:id="0">
          <w:tblGrid>
            <w:gridCol w:w="1170"/>
            <w:gridCol w:w="1170"/>
            <w:gridCol w:w="1170"/>
            <w:gridCol w:w="1170"/>
            <w:gridCol w:w="1170"/>
            <w:gridCol w:w="1170"/>
            <w:gridCol w:w="1170"/>
            <w:gridCol w:w="117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dc3c7" w:space="0" w:sz="6" w:val="single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ecf0f1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75.9999942779541" w:lineRule="auto"/>
              <w:rPr>
                <w:rFonts w:ascii="Arial" w:cs="Arial" w:eastAsia="Arial" w:hAnsi="Arial"/>
                <w:color w:val="2c3e5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2c3e50"/>
                <w:shd w:fill="auto" w:val="clear"/>
                <w:rtl w:val="0"/>
              </w:rPr>
              <w:t xml:space="preserve">ID y Descripción</w:t>
            </w:r>
          </w:p>
        </w:tc>
        <w:tc>
          <w:tcPr>
            <w:tcBorders>
              <w:top w:color="bdc3c7" w:space="0" w:sz="6" w:val="single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ecf0f1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75.9999942779541" w:lineRule="auto"/>
              <w:rPr>
                <w:rFonts w:ascii="Arial" w:cs="Arial" w:eastAsia="Arial" w:hAnsi="Arial"/>
                <w:color w:val="2c3e5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2c3e50"/>
                <w:shd w:fill="auto" w:val="clear"/>
                <w:rtl w:val="0"/>
              </w:rPr>
              <w:t xml:space="preserve">Categoría</w:t>
            </w:r>
          </w:p>
        </w:tc>
        <w:tc>
          <w:tcPr>
            <w:tcBorders>
              <w:top w:color="bdc3c7" w:space="0" w:sz="6" w:val="single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ecf0f1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75.9999942779541" w:lineRule="auto"/>
              <w:rPr>
                <w:rFonts w:ascii="Arial" w:cs="Arial" w:eastAsia="Arial" w:hAnsi="Arial"/>
                <w:color w:val="2c3e5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2c3e50"/>
                <w:shd w:fill="auto" w:val="clear"/>
                <w:rtl w:val="0"/>
              </w:rPr>
              <w:t xml:space="preserve">Causa y Consecuencia</w:t>
            </w:r>
          </w:p>
        </w:tc>
        <w:tc>
          <w:tcPr>
            <w:tcBorders>
              <w:top w:color="bdc3c7" w:space="0" w:sz="6" w:val="single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ecf0f1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75.9999942779541" w:lineRule="auto"/>
              <w:rPr>
                <w:rFonts w:ascii="Arial" w:cs="Arial" w:eastAsia="Arial" w:hAnsi="Arial"/>
                <w:color w:val="2c3e5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2c3e50"/>
                <w:shd w:fill="auto" w:val="clear"/>
                <w:rtl w:val="0"/>
              </w:rPr>
              <w:t xml:space="preserve">Prob</w:t>
            </w:r>
          </w:p>
        </w:tc>
        <w:tc>
          <w:tcPr>
            <w:tcBorders>
              <w:top w:color="bdc3c7" w:space="0" w:sz="6" w:val="single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ecf0f1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75.9999942779541" w:lineRule="auto"/>
              <w:rPr>
                <w:rFonts w:ascii="Arial" w:cs="Arial" w:eastAsia="Arial" w:hAnsi="Arial"/>
                <w:color w:val="2c3e5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2c3e50"/>
                <w:shd w:fill="auto" w:val="clear"/>
                <w:rtl w:val="0"/>
              </w:rPr>
              <w:t xml:space="preserve">Imp</w:t>
            </w:r>
          </w:p>
        </w:tc>
        <w:tc>
          <w:tcPr>
            <w:tcBorders>
              <w:top w:color="bdc3c7" w:space="0" w:sz="6" w:val="single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ecf0f1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75.9999942779541" w:lineRule="auto"/>
              <w:rPr>
                <w:rFonts w:ascii="Arial" w:cs="Arial" w:eastAsia="Arial" w:hAnsi="Arial"/>
                <w:color w:val="2c3e5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2c3e50"/>
                <w:shd w:fill="auto" w:val="clear"/>
                <w:rtl w:val="0"/>
              </w:rPr>
              <w:t xml:space="preserve">Prioridad (PxI)</w:t>
            </w:r>
          </w:p>
        </w:tc>
        <w:tc>
          <w:tcPr>
            <w:tcBorders>
              <w:top w:color="bdc3c7" w:space="0" w:sz="6" w:val="single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ecf0f1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75.9999942779541" w:lineRule="auto"/>
              <w:rPr>
                <w:rFonts w:ascii="Arial" w:cs="Arial" w:eastAsia="Arial" w:hAnsi="Arial"/>
                <w:color w:val="2c3e5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2c3e50"/>
                <w:shd w:fill="auto" w:val="clear"/>
                <w:rtl w:val="0"/>
              </w:rPr>
              <w:t xml:space="preserve">Mitigación</w:t>
            </w:r>
          </w:p>
        </w:tc>
        <w:tc>
          <w:tcPr>
            <w:tcBorders>
              <w:top w:color="bdc3c7" w:space="0" w:sz="6" w:val="single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ecf0f1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75.9999942779541" w:lineRule="auto"/>
              <w:rPr>
                <w:rFonts w:ascii="Arial" w:cs="Arial" w:eastAsia="Arial" w:hAnsi="Arial"/>
                <w:color w:val="2c3e5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2c3e50"/>
                <w:shd w:fill="auto" w:val="clear"/>
                <w:rtl w:val="0"/>
              </w:rPr>
              <w:t xml:space="preserve">Responsable</w:t>
            </w:r>
          </w:p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6" w:val="single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275.9999942779541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R01 - Subestimación y desviación de Horas de RRHH</w:t>
            </w:r>
          </w:p>
        </w:tc>
        <w:tc>
          <w:tcPr>
            <w:tcBorders>
              <w:top w:color="bdc3c7" w:space="0" w:sz="6" w:val="single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275.9999942779541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Proyecto / Financiero</w:t>
            </w:r>
          </w:p>
        </w:tc>
        <w:tc>
          <w:tcPr>
            <w:tcBorders>
              <w:top w:color="bdc3c7" w:space="0" w:sz="6" w:val="single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275.9999942779541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Mayor complejidad técnica que incrementa las horas, impactando el 69,7% del TCO base.</w:t>
            </w:r>
          </w:p>
        </w:tc>
        <w:tc>
          <w:tcPr>
            <w:tcBorders>
              <w:top w:color="bdc3c7" w:space="0" w:sz="6" w:val="single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275.9999942779541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</w:t>
            </w:r>
          </w:p>
        </w:tc>
        <w:tc>
          <w:tcPr>
            <w:tcBorders>
              <w:top w:color="bdc3c7" w:space="0" w:sz="6" w:val="single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275.9999942779541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3</w:t>
            </w:r>
          </w:p>
        </w:tc>
        <w:tc>
          <w:tcPr>
            <w:tcBorders>
              <w:top w:color="bdc3c7" w:space="0" w:sz="6" w:val="single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275.9999942779541" w:lineRule="auto"/>
              <w:jc w:val="center"/>
              <w:rPr>
                <w:rFonts w:ascii="Arial" w:cs="Arial" w:eastAsia="Arial" w:hAnsi="Arial"/>
                <w:b w:val="1"/>
                <w:bCs w:val="1"/>
                <w:color w:val="c0392b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0392b"/>
                <w:rtl w:val="0"/>
              </w:rPr>
              <w:t xml:space="preserve">6 (Crítico)</w:t>
            </w:r>
          </w:p>
        </w:tc>
        <w:tc>
          <w:tcPr>
            <w:tcBorders>
              <w:top w:color="bdc3c7" w:space="0" w:sz="6" w:val="single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275.9999942779541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Fabián debe validar horas en EDT/Gantt, registrar cambios de alcance y monitoreo semanal.</w:t>
            </w:r>
          </w:p>
        </w:tc>
        <w:tc>
          <w:tcPr>
            <w:tcBorders>
              <w:top w:color="bdc3c7" w:space="0" w:sz="6" w:val="single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275.9999942779541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Fabián / Ignacio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6" w:val="single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f9f9f9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275.9999942779541" w:lineRule="auto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R02 - Retraso en Aprobación Ética y Legal para GCP</w:t>
            </w:r>
          </w:p>
        </w:tc>
        <w:tc>
          <w:tcPr>
            <w:tcBorders>
              <w:top w:color="bdc3c7" w:space="0" w:sz="6" w:val="single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f9f9f9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275.9999942779541" w:lineRule="auto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Legal</w:t>
            </w:r>
          </w:p>
        </w:tc>
        <w:tc>
          <w:tcPr>
            <w:tcBorders>
              <w:top w:color="bdc3c7" w:space="0" w:sz="6" w:val="single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f9f9f9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275.9999942779541" w:lineRule="auto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Burocracia para integrar datos de salud en la nube pública, retrasando el cronograma de 10 semanas.</w:t>
            </w:r>
          </w:p>
        </w:tc>
        <w:tc>
          <w:tcPr>
            <w:tcBorders>
              <w:top w:color="bdc3c7" w:space="0" w:sz="6" w:val="single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f9f9f9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275.9999942779541" w:lineRule="auto"/>
              <w:jc w:val="center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2</w:t>
            </w:r>
          </w:p>
        </w:tc>
        <w:tc>
          <w:tcPr>
            <w:tcBorders>
              <w:top w:color="bdc3c7" w:space="0" w:sz="6" w:val="single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f9f9f9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275.9999942779541" w:lineRule="auto"/>
              <w:jc w:val="center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3</w:t>
            </w:r>
          </w:p>
        </w:tc>
        <w:tc>
          <w:tcPr>
            <w:tcBorders>
              <w:top w:color="bdc3c7" w:space="0" w:sz="6" w:val="single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f9f9f9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275.9999942779541" w:lineRule="auto"/>
              <w:jc w:val="center"/>
              <w:rPr>
                <w:rFonts w:ascii="Arial" w:cs="Arial" w:eastAsia="Arial" w:hAnsi="Arial"/>
                <w:b w:val="1"/>
                <w:bCs w:val="1"/>
                <w:color w:val="c0392b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0392b"/>
                <w:shd w:fill="auto" w:val="clear"/>
                <w:rtl w:val="0"/>
              </w:rPr>
              <w:t xml:space="preserve">6 (Crítico)</w:t>
            </w:r>
          </w:p>
        </w:tc>
        <w:tc>
          <w:tcPr>
            <w:tcBorders>
              <w:top w:color="bdc3c7" w:space="0" w:sz="6" w:val="single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f9f9f9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275.9999942779541" w:lineRule="auto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Aprobación formal temprana y pseudonimización estricta antes de la carga de datos.</w:t>
            </w:r>
          </w:p>
        </w:tc>
        <w:tc>
          <w:tcPr>
            <w:tcBorders>
              <w:top w:color="bdc3c7" w:space="0" w:sz="6" w:val="single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f9f9f9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275.9999942779541" w:lineRule="auto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Vicente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6" w:val="single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275.9999942779541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R03 - Volatilidad Cambiaria y Sobrecosto Cloud</w:t>
            </w:r>
          </w:p>
        </w:tc>
        <w:tc>
          <w:tcPr>
            <w:tcBorders>
              <w:top w:color="bdc3c7" w:space="0" w:sz="6" w:val="single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275.9999942779541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Financiero</w:t>
            </w:r>
          </w:p>
        </w:tc>
        <w:tc>
          <w:tcPr>
            <w:tcBorders>
              <w:top w:color="bdc3c7" w:space="0" w:sz="6" w:val="single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275.9999942779541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Fluctuaciones del USD respecto al CLP que desvían el OPEX planificado.</w:t>
            </w:r>
          </w:p>
        </w:tc>
        <w:tc>
          <w:tcPr>
            <w:tcBorders>
              <w:top w:color="bdc3c7" w:space="0" w:sz="6" w:val="single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275.9999942779541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3</w:t>
            </w:r>
          </w:p>
        </w:tc>
        <w:tc>
          <w:tcPr>
            <w:tcBorders>
              <w:top w:color="bdc3c7" w:space="0" w:sz="6" w:val="single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275.9999942779541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</w:t>
            </w:r>
          </w:p>
        </w:tc>
        <w:tc>
          <w:tcPr>
            <w:tcBorders>
              <w:top w:color="bdc3c7" w:space="0" w:sz="6" w:val="single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275.9999942779541" w:lineRule="auto"/>
              <w:jc w:val="center"/>
              <w:rPr>
                <w:rFonts w:ascii="Arial" w:cs="Arial" w:eastAsia="Arial" w:hAnsi="Arial"/>
                <w:b w:val="1"/>
                <w:bCs w:val="1"/>
                <w:color w:val="c0392b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0392b"/>
                <w:rtl w:val="0"/>
              </w:rPr>
              <w:t xml:space="preserve">6 (Crítico)</w:t>
            </w:r>
          </w:p>
        </w:tc>
        <w:tc>
          <w:tcPr>
            <w:tcBorders>
              <w:top w:color="bdc3c7" w:space="0" w:sz="6" w:val="single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275.9999942779541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Presupuesto con contingencia del 10%, configuración de alertas de gasto y revisión mensual.</w:t>
            </w:r>
          </w:p>
        </w:tc>
        <w:tc>
          <w:tcPr>
            <w:tcBorders>
              <w:top w:color="bdc3c7" w:space="0" w:sz="6" w:val="single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275.9999942779541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Ignacio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6" w:val="single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f9f9f9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275.9999942779541" w:lineRule="auto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R04 - Sobrecosto por servicios Cloud no previstos</w:t>
            </w:r>
          </w:p>
        </w:tc>
        <w:tc>
          <w:tcPr>
            <w:tcBorders>
              <w:top w:color="bdc3c7" w:space="0" w:sz="6" w:val="single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f9f9f9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275.9999942779541" w:lineRule="auto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Financiero</w:t>
            </w:r>
          </w:p>
        </w:tc>
        <w:tc>
          <w:tcPr>
            <w:tcBorders>
              <w:top w:color="bdc3c7" w:space="0" w:sz="6" w:val="single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f9f9f9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275.9999942779541" w:lineRule="auto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Cobros imprevistos por egress de red, logs o servicios administrados adicionales.</w:t>
            </w:r>
          </w:p>
        </w:tc>
        <w:tc>
          <w:tcPr>
            <w:tcBorders>
              <w:top w:color="bdc3c7" w:space="0" w:sz="6" w:val="single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f9f9f9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275.9999942779541" w:lineRule="auto"/>
              <w:jc w:val="center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2</w:t>
            </w:r>
          </w:p>
        </w:tc>
        <w:tc>
          <w:tcPr>
            <w:tcBorders>
              <w:top w:color="bdc3c7" w:space="0" w:sz="6" w:val="single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f9f9f9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275.9999942779541" w:lineRule="auto"/>
              <w:jc w:val="center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2</w:t>
            </w:r>
          </w:p>
        </w:tc>
        <w:tc>
          <w:tcPr>
            <w:tcBorders>
              <w:top w:color="bdc3c7" w:space="0" w:sz="6" w:val="single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f9f9f9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275.9999942779541" w:lineRule="auto"/>
              <w:jc w:val="center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4 (Medio)</w:t>
            </w:r>
          </w:p>
        </w:tc>
        <w:tc>
          <w:tcPr>
            <w:tcBorders>
              <w:top w:color="bdc3c7" w:space="0" w:sz="6" w:val="single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f9f9f9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275.9999942779541" w:lineRule="auto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Etiquetado de costos, presupuesto asignado por servicio y aprobación previa de activaciones.</w:t>
            </w:r>
          </w:p>
        </w:tc>
        <w:tc>
          <w:tcPr>
            <w:tcBorders>
              <w:top w:color="bdc3c7" w:space="0" w:sz="6" w:val="single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f9f9f9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275.9999942779541" w:lineRule="auto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Ignacio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6" w:val="single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275.9999942779541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R05 - Fallas en Ingesta Batch Incremental</w:t>
            </w:r>
          </w:p>
        </w:tc>
        <w:tc>
          <w:tcPr>
            <w:tcBorders>
              <w:top w:color="bdc3c7" w:space="0" w:sz="6" w:val="single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275.9999942779541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Técnico / Proyecto</w:t>
            </w:r>
          </w:p>
        </w:tc>
        <w:tc>
          <w:tcPr>
            <w:tcBorders>
              <w:top w:color="bdc3c7" w:space="0" w:sz="6" w:val="single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275.9999942779541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Descalce o inconsistencia de datos cardiovasculares al cierre de la jornada.</w:t>
            </w:r>
          </w:p>
        </w:tc>
        <w:tc>
          <w:tcPr>
            <w:tcBorders>
              <w:top w:color="bdc3c7" w:space="0" w:sz="6" w:val="single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275.9999942779541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</w:t>
            </w:r>
          </w:p>
        </w:tc>
        <w:tc>
          <w:tcPr>
            <w:tcBorders>
              <w:top w:color="bdc3c7" w:space="0" w:sz="6" w:val="single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275.9999942779541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</w:t>
            </w:r>
          </w:p>
        </w:tc>
        <w:tc>
          <w:tcPr>
            <w:tcBorders>
              <w:top w:color="bdc3c7" w:space="0" w:sz="6" w:val="single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275.9999942779541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 (Bajo)</w:t>
            </w:r>
          </w:p>
        </w:tc>
        <w:tc>
          <w:tcPr>
            <w:tcBorders>
              <w:top w:color="bdc3c7" w:space="0" w:sz="6" w:val="single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275.9999942779541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Monitoreo continuo del pipeline y cumplimiento de RTO menor a 8 horas.</w:t>
            </w:r>
          </w:p>
        </w:tc>
        <w:tc>
          <w:tcPr>
            <w:tcBorders>
              <w:top w:color="bdc3c7" w:space="0" w:sz="6" w:val="single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275.9999942779541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Lucas / Fabián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6" w:val="single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f9f9f9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275.9999942779541" w:lineRule="auto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R06 - Riesgo de Tratamiento Tributario Distinto</w:t>
            </w:r>
          </w:p>
        </w:tc>
        <w:tc>
          <w:tcPr>
            <w:tcBorders>
              <w:top w:color="bdc3c7" w:space="0" w:sz="6" w:val="single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f9f9f9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275.9999942779541" w:lineRule="auto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Financiero / Legal</w:t>
            </w:r>
          </w:p>
        </w:tc>
        <w:tc>
          <w:tcPr>
            <w:tcBorders>
              <w:top w:color="bdc3c7" w:space="0" w:sz="6" w:val="single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f9f9f9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275.9999942779541" w:lineRule="auto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Aplicación de impuestos a servicios Cloud mayor o menor al 19% estimado.</w:t>
            </w:r>
          </w:p>
        </w:tc>
        <w:tc>
          <w:tcPr>
            <w:tcBorders>
              <w:top w:color="bdc3c7" w:space="0" w:sz="6" w:val="single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f9f9f9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275.9999942779541" w:lineRule="auto"/>
              <w:jc w:val="center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2</w:t>
            </w:r>
          </w:p>
        </w:tc>
        <w:tc>
          <w:tcPr>
            <w:tcBorders>
              <w:top w:color="bdc3c7" w:space="0" w:sz="6" w:val="single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f9f9f9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275.9999942779541" w:lineRule="auto"/>
              <w:jc w:val="center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1</w:t>
            </w:r>
          </w:p>
        </w:tc>
        <w:tc>
          <w:tcPr>
            <w:tcBorders>
              <w:top w:color="bdc3c7" w:space="0" w:sz="6" w:val="single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f9f9f9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275.9999942779541" w:lineRule="auto"/>
              <w:jc w:val="center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2 (Bajo)</w:t>
            </w:r>
          </w:p>
        </w:tc>
        <w:tc>
          <w:tcPr>
            <w:tcBorders>
              <w:top w:color="bdc3c7" w:space="0" w:sz="6" w:val="single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f9f9f9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275.9999942779541" w:lineRule="auto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Validar con administración institucional antes de contratar.</w:t>
            </w:r>
          </w:p>
        </w:tc>
        <w:tc>
          <w:tcPr>
            <w:tcBorders>
              <w:top w:color="bdc3c7" w:space="0" w:sz="6" w:val="single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f9f9f9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275.9999942779541" w:lineRule="auto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Ignacio / Vicente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6" w:val="single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275.9999942779541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R07 - Integración Híbrida Compleja</w:t>
            </w:r>
          </w:p>
        </w:tc>
        <w:tc>
          <w:tcPr>
            <w:tcBorders>
              <w:top w:color="bdc3c7" w:space="0" w:sz="6" w:val="single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275.9999942779541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Técnico</w:t>
            </w:r>
          </w:p>
        </w:tc>
        <w:tc>
          <w:tcPr>
            <w:tcBorders>
              <w:top w:color="bdc3c7" w:space="0" w:sz="6" w:val="single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275.9999942779541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En caso de no aprobarse la nube pura, fallas de sincronización entre el entorno local y GCP.</w:t>
            </w:r>
          </w:p>
        </w:tc>
        <w:tc>
          <w:tcPr>
            <w:tcBorders>
              <w:top w:color="bdc3c7" w:space="0" w:sz="6" w:val="single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275.9999942779541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</w:t>
            </w:r>
          </w:p>
        </w:tc>
        <w:tc>
          <w:tcPr>
            <w:tcBorders>
              <w:top w:color="bdc3c7" w:space="0" w:sz="6" w:val="single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275.9999942779541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3</w:t>
            </w:r>
          </w:p>
        </w:tc>
        <w:tc>
          <w:tcPr>
            <w:tcBorders>
              <w:top w:color="bdc3c7" w:space="0" w:sz="6" w:val="single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275.9999942779541" w:lineRule="auto"/>
              <w:jc w:val="center"/>
              <w:rPr>
                <w:rFonts w:ascii="Arial" w:cs="Arial" w:eastAsia="Arial" w:hAnsi="Arial"/>
                <w:b w:val="1"/>
                <w:bCs w:val="1"/>
                <w:color w:val="c0392b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0392b"/>
                <w:rtl w:val="0"/>
              </w:rPr>
              <w:t xml:space="preserve">6 (Crítico)</w:t>
            </w:r>
          </w:p>
        </w:tc>
        <w:tc>
          <w:tcPr>
            <w:tcBorders>
              <w:top w:color="bdc3c7" w:space="0" w:sz="6" w:val="single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275.9999942779541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Prueba temprana de sincronización y designar un responsable técnico único de la integración.</w:t>
            </w:r>
          </w:p>
        </w:tc>
        <w:tc>
          <w:tcPr>
            <w:tcBorders>
              <w:top w:color="bdc3c7" w:space="0" w:sz="6" w:val="single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275.9999942779541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Lucas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6" w:val="single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f9f9f9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275.9999942779541" w:lineRule="auto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R08 - Fuga de datos clínicos (PHI)</w:t>
            </w:r>
          </w:p>
        </w:tc>
        <w:tc>
          <w:tcPr>
            <w:tcBorders>
              <w:top w:color="bdc3c7" w:space="0" w:sz="6" w:val="single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f9f9f9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275.9999942779541" w:lineRule="auto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Legal</w:t>
            </w:r>
          </w:p>
        </w:tc>
        <w:tc>
          <w:tcPr>
            <w:tcBorders>
              <w:top w:color="bdc3c7" w:space="0" w:sz="6" w:val="single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f9f9f9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275.9999942779541" w:lineRule="auto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Exposición de registros cardiovasculares identificables por brecha de seguridad.</w:t>
            </w:r>
          </w:p>
        </w:tc>
        <w:tc>
          <w:tcPr>
            <w:tcBorders>
              <w:top w:color="bdc3c7" w:space="0" w:sz="6" w:val="single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f9f9f9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275.9999942779541" w:lineRule="auto"/>
              <w:jc w:val="center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1</w:t>
            </w:r>
          </w:p>
        </w:tc>
        <w:tc>
          <w:tcPr>
            <w:tcBorders>
              <w:top w:color="bdc3c7" w:space="0" w:sz="6" w:val="single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f9f9f9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275.9999942779541" w:lineRule="auto"/>
              <w:jc w:val="center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3</w:t>
            </w:r>
          </w:p>
        </w:tc>
        <w:tc>
          <w:tcPr>
            <w:tcBorders>
              <w:top w:color="bdc3c7" w:space="0" w:sz="6" w:val="single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f9f9f9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275.9999942779541" w:lineRule="auto"/>
              <w:jc w:val="center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3 (Medio)</w:t>
            </w:r>
          </w:p>
        </w:tc>
        <w:tc>
          <w:tcPr>
            <w:tcBorders>
              <w:top w:color="bdc3c7" w:space="0" w:sz="6" w:val="single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f9f9f9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275.9999942779541" w:lineRule="auto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Cero exposición mediante Secret Manager e IAM, y pseudonimización previa.</w:t>
            </w:r>
          </w:p>
        </w:tc>
        <w:tc>
          <w:tcPr>
            <w:tcBorders>
              <w:top w:color="bdc3c7" w:space="0" w:sz="6" w:val="single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f9f9f9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275.9999942779541" w:lineRule="auto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Vicente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6" w:val="single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275.9999942779541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R09 - Degradación del modelo y Deriva (Data Drift)</w:t>
            </w:r>
          </w:p>
        </w:tc>
        <w:tc>
          <w:tcPr>
            <w:tcBorders>
              <w:top w:color="bdc3c7" w:space="0" w:sz="6" w:val="single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275.9999942779541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Técnico / Ético</w:t>
            </w:r>
          </w:p>
        </w:tc>
        <w:tc>
          <w:tcPr>
            <w:tcBorders>
              <w:top w:color="bdc3c7" w:space="0" w:sz="6" w:val="single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275.9999942779541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Pérdida de precisión predictiva a lo largo de los 36 meses de operación.</w:t>
            </w:r>
          </w:p>
        </w:tc>
        <w:tc>
          <w:tcPr>
            <w:tcBorders>
              <w:top w:color="bdc3c7" w:space="0" w:sz="6" w:val="single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275.9999942779541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</w:t>
            </w:r>
          </w:p>
        </w:tc>
        <w:tc>
          <w:tcPr>
            <w:tcBorders>
              <w:top w:color="bdc3c7" w:space="0" w:sz="6" w:val="single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275.9999942779541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</w:t>
            </w:r>
          </w:p>
        </w:tc>
        <w:tc>
          <w:tcPr>
            <w:tcBorders>
              <w:top w:color="bdc3c7" w:space="0" w:sz="6" w:val="single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275.9999942779541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4 (Medio)</w:t>
            </w:r>
          </w:p>
        </w:tc>
        <w:tc>
          <w:tcPr>
            <w:tcBorders>
              <w:top w:color="bdc3c7" w:space="0" w:sz="6" w:val="single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275.9999942779541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6 ventanas semestrales de reentrenamiento y aprobación médica obligatoria (Human-in-the-loop).</w:t>
            </w:r>
          </w:p>
        </w:tc>
        <w:tc>
          <w:tcPr>
            <w:tcBorders>
              <w:top w:color="bdc3c7" w:space="0" w:sz="6" w:val="single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275.9999942779541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César / Lucas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6" w:val="single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f9f9f9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275.9999942779541" w:lineRule="auto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R10 - Sesgo de representatividad demográfica</w:t>
            </w:r>
          </w:p>
        </w:tc>
        <w:tc>
          <w:tcPr>
            <w:tcBorders>
              <w:top w:color="bdc3c7" w:space="0" w:sz="6" w:val="single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f9f9f9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275.9999942779541" w:lineRule="auto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Ético</w:t>
            </w:r>
          </w:p>
        </w:tc>
        <w:tc>
          <w:tcPr>
            <w:tcBorders>
              <w:top w:color="bdc3c7" w:space="0" w:sz="6" w:val="single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f9f9f9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275.9999942779541" w:lineRule="auto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Desbalance en los 10.000 registros iniciales que genere diagnósticos inequitativos por subgrupos.</w:t>
            </w:r>
          </w:p>
        </w:tc>
        <w:tc>
          <w:tcPr>
            <w:tcBorders>
              <w:top w:color="bdc3c7" w:space="0" w:sz="6" w:val="single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f9f9f9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275.9999942779541" w:lineRule="auto"/>
              <w:jc w:val="center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2</w:t>
            </w:r>
          </w:p>
        </w:tc>
        <w:tc>
          <w:tcPr>
            <w:tcBorders>
              <w:top w:color="bdc3c7" w:space="0" w:sz="6" w:val="single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f9f9f9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275.9999942779541" w:lineRule="auto"/>
              <w:jc w:val="center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3</w:t>
            </w:r>
          </w:p>
        </w:tc>
        <w:tc>
          <w:tcPr>
            <w:tcBorders>
              <w:top w:color="bdc3c7" w:space="0" w:sz="6" w:val="single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f9f9f9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275.9999942779541" w:lineRule="auto"/>
              <w:jc w:val="center"/>
              <w:rPr>
                <w:rFonts w:ascii="Arial" w:cs="Arial" w:eastAsia="Arial" w:hAnsi="Arial"/>
                <w:b w:val="1"/>
                <w:bCs w:val="1"/>
                <w:color w:val="c0392b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0392b"/>
                <w:shd w:fill="auto" w:val="clear"/>
                <w:rtl w:val="0"/>
              </w:rPr>
              <w:t xml:space="preserve">6 (Crítico)</w:t>
            </w:r>
          </w:p>
        </w:tc>
        <w:tc>
          <w:tcPr>
            <w:tcBorders>
              <w:top w:color="bdc3c7" w:space="0" w:sz="6" w:val="single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f9f9f9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275.9999942779541" w:lineRule="auto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Auditoría ética en cada ventana semestral y explicabilidad local con SHAP.</w:t>
            </w:r>
          </w:p>
        </w:tc>
        <w:tc>
          <w:tcPr>
            <w:tcBorders>
              <w:top w:color="bdc3c7" w:space="0" w:sz="6" w:val="single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f9f9f9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275.9999942779541" w:lineRule="auto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César</w:t>
            </w:r>
          </w:p>
        </w:tc>
      </w:tr>
    </w:tbl>
    <w:p w:rsidR="00000000" w:rsidDel="00000000" w:rsidP="00000000" w:rsidRDefault="00000000" w:rsidRPr="00000000" w14:paraId="0000005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300" w:lineRule="auto"/>
        <w:rPr>
          <w:rFonts w:ascii="Arial" w:cs="Arial" w:eastAsia="Arial" w:hAnsi="Arial"/>
          <w:color w:val="34495e"/>
        </w:rPr>
      </w:pPr>
      <w:r w:rsidDel="00000000" w:rsidR="00000000" w:rsidRPr="00000000">
        <w:rPr>
          <w:rFonts w:ascii="Arial" w:cs="Arial" w:eastAsia="Arial" w:hAnsi="Arial"/>
          <w:color w:val="34495e"/>
          <w:rtl w:val="0"/>
        </w:rPr>
        <w:t xml:space="preserve">2. Criterios de Aceptación Cumplidos</w:t>
      </w:r>
    </w:p>
    <w:p w:rsidR="00000000" w:rsidDel="00000000" w:rsidP="00000000" w:rsidRDefault="00000000" w:rsidRPr="00000000" w14:paraId="0000005E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Arial" w:cs="Arial" w:eastAsia="Arial" w:hAnsi="Arial"/>
          <w:rtl w:val="0"/>
        </w:rPr>
        <w:t xml:space="preserve">Riesgos técnicos, legales, financieros y éticos claramente diferenciados.</w:t>
      </w:r>
    </w:p>
    <w:p w:rsidR="00000000" w:rsidDel="00000000" w:rsidP="00000000" w:rsidRDefault="00000000" w:rsidRPr="00000000" w14:paraId="0000005F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Arial" w:cs="Arial" w:eastAsia="Arial" w:hAnsi="Arial"/>
          <w:rtl w:val="0"/>
        </w:rPr>
        <w:t xml:space="preserve">Probabilidad e impacto calculados consistentemente con la escala oficial.</w:t>
      </w:r>
    </w:p>
    <w:p w:rsidR="00000000" w:rsidDel="00000000" w:rsidP="00000000" w:rsidRDefault="00000000" w:rsidRPr="00000000" w14:paraId="00000060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Arial" w:cs="Arial" w:eastAsia="Arial" w:hAnsi="Arial"/>
          <w:rtl w:val="0"/>
        </w:rPr>
        <w:t xml:space="preserve">Mitigaciones alineadas con la arquitectura Cloud propuesta (TCO base de $11.866.338) y el plan de RRHH.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